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689"/>
        <w:gridCol w:w="6327"/>
      </w:tblGrid>
      <w:tr w:rsidR="00A92581" w:rsidRPr="00A92581" w14:paraId="60BF35D7" w14:textId="77777777" w:rsidTr="24C5EF41">
        <w:tc>
          <w:tcPr>
            <w:tcW w:w="2689" w:type="dxa"/>
          </w:tcPr>
          <w:p w14:paraId="1842260E" w14:textId="77777777" w:rsidR="00EA2A1B" w:rsidRPr="00AD2ABD" w:rsidRDefault="00EA2A1B" w:rsidP="00EA2A1B">
            <w:pPr>
              <w:spacing w:line="360" w:lineRule="auto"/>
              <w:jc w:val="both"/>
              <w:rPr>
                <w:rFonts w:ascii="Arial" w:hAnsi="Arial" w:cs="Arial"/>
                <w:b/>
                <w:bCs/>
                <w:color w:val="B70954"/>
                <w:sz w:val="24"/>
                <w:szCs w:val="24"/>
              </w:rPr>
            </w:pPr>
            <w:r w:rsidRPr="00AD2ABD">
              <w:rPr>
                <w:rFonts w:ascii="Arial" w:hAnsi="Arial" w:cs="Arial"/>
                <w:b/>
                <w:bCs/>
                <w:color w:val="B70954"/>
                <w:sz w:val="24"/>
                <w:szCs w:val="24"/>
              </w:rPr>
              <w:t>Job title:</w:t>
            </w:r>
            <w:r w:rsidRPr="00AD2ABD">
              <w:rPr>
                <w:rFonts w:ascii="Arial" w:hAnsi="Arial" w:cs="Arial"/>
                <w:b/>
                <w:bCs/>
                <w:color w:val="B70954"/>
                <w:sz w:val="24"/>
                <w:szCs w:val="24"/>
              </w:rPr>
              <w:tab/>
            </w:r>
          </w:p>
        </w:tc>
        <w:tc>
          <w:tcPr>
            <w:tcW w:w="6327" w:type="dxa"/>
          </w:tcPr>
          <w:p w14:paraId="3CBAAE58" w14:textId="7C059D3B" w:rsidR="00EA2A1B" w:rsidRPr="00AD2ABD" w:rsidRDefault="006B4070" w:rsidP="00EA2A1B">
            <w:pPr>
              <w:spacing w:line="360" w:lineRule="auto"/>
              <w:jc w:val="both"/>
              <w:rPr>
                <w:rFonts w:ascii="Arial" w:hAnsi="Arial" w:cs="Arial"/>
                <w:b/>
                <w:bCs/>
                <w:color w:val="B70954"/>
                <w:sz w:val="24"/>
                <w:szCs w:val="24"/>
              </w:rPr>
            </w:pPr>
            <w:r>
              <w:rPr>
                <w:rFonts w:ascii="Arial" w:hAnsi="Arial" w:cs="Arial"/>
                <w:b/>
                <w:bCs/>
                <w:color w:val="B70954"/>
                <w:sz w:val="24"/>
                <w:szCs w:val="24"/>
              </w:rPr>
              <w:t>Finance Assistant – Corporate Finance</w:t>
            </w:r>
          </w:p>
        </w:tc>
      </w:tr>
      <w:tr w:rsidR="00A92581" w:rsidRPr="00A92581" w14:paraId="38BA87AD" w14:textId="77777777" w:rsidTr="24C5EF41">
        <w:tc>
          <w:tcPr>
            <w:tcW w:w="2689" w:type="dxa"/>
          </w:tcPr>
          <w:p w14:paraId="22816B13" w14:textId="77777777" w:rsidR="00403683" w:rsidRPr="00A22BF9" w:rsidRDefault="00403683" w:rsidP="00403683">
            <w:pPr>
              <w:spacing w:line="360" w:lineRule="auto"/>
              <w:jc w:val="both"/>
              <w:rPr>
                <w:rFonts w:ascii="Arial" w:hAnsi="Arial" w:cs="Arial"/>
                <w:b/>
                <w:bCs/>
                <w:color w:val="B70954"/>
                <w:sz w:val="24"/>
                <w:szCs w:val="24"/>
              </w:rPr>
            </w:pPr>
            <w:r w:rsidRPr="00A22BF9">
              <w:rPr>
                <w:rFonts w:ascii="Arial" w:hAnsi="Arial" w:cs="Arial"/>
                <w:b/>
                <w:bCs/>
                <w:color w:val="B70954"/>
                <w:sz w:val="24"/>
                <w:szCs w:val="24"/>
              </w:rPr>
              <w:t>Reports to:</w:t>
            </w:r>
          </w:p>
        </w:tc>
        <w:tc>
          <w:tcPr>
            <w:tcW w:w="6327" w:type="dxa"/>
          </w:tcPr>
          <w:p w14:paraId="59F575F1" w14:textId="55FA1FEC" w:rsidR="00403683" w:rsidRPr="00A22BF9" w:rsidRDefault="006B4070" w:rsidP="00403683">
            <w:pPr>
              <w:spacing w:line="360" w:lineRule="auto"/>
              <w:jc w:val="both"/>
              <w:rPr>
                <w:rFonts w:ascii="Arial" w:hAnsi="Arial" w:cs="Arial"/>
                <w:b/>
                <w:bCs/>
                <w:color w:val="B70954"/>
                <w:sz w:val="24"/>
                <w:szCs w:val="24"/>
              </w:rPr>
            </w:pPr>
            <w:r>
              <w:rPr>
                <w:rFonts w:ascii="Arial" w:hAnsi="Arial" w:cs="Arial"/>
                <w:b/>
                <w:bCs/>
                <w:color w:val="B70954"/>
                <w:sz w:val="24"/>
                <w:szCs w:val="24"/>
              </w:rPr>
              <w:t>Management Accountant</w:t>
            </w:r>
          </w:p>
        </w:tc>
      </w:tr>
      <w:tr w:rsidR="00A92581" w:rsidRPr="00A92581" w14:paraId="2B1B9EEB" w14:textId="77777777" w:rsidTr="24C5EF41">
        <w:tc>
          <w:tcPr>
            <w:tcW w:w="2689" w:type="dxa"/>
          </w:tcPr>
          <w:p w14:paraId="66F3CB9E" w14:textId="77777777" w:rsidR="00403683" w:rsidRPr="00A22BF9" w:rsidRDefault="00403683" w:rsidP="00403683">
            <w:pPr>
              <w:spacing w:line="360" w:lineRule="auto"/>
              <w:jc w:val="both"/>
              <w:rPr>
                <w:rFonts w:ascii="Arial" w:hAnsi="Arial" w:cs="Arial"/>
                <w:b/>
                <w:color w:val="B70954"/>
                <w:sz w:val="24"/>
                <w:szCs w:val="24"/>
              </w:rPr>
            </w:pPr>
            <w:r w:rsidRPr="00A22BF9">
              <w:rPr>
                <w:rFonts w:ascii="Arial" w:hAnsi="Arial" w:cs="Arial"/>
                <w:b/>
                <w:color w:val="B70954"/>
                <w:sz w:val="24"/>
                <w:szCs w:val="24"/>
              </w:rPr>
              <w:t>Perm or contract:</w:t>
            </w:r>
          </w:p>
        </w:tc>
        <w:tc>
          <w:tcPr>
            <w:tcW w:w="6327" w:type="dxa"/>
          </w:tcPr>
          <w:p w14:paraId="31D74916" w14:textId="0C8D3986" w:rsidR="00403683" w:rsidRPr="00A22BF9" w:rsidRDefault="006C1851" w:rsidP="00403683">
            <w:pPr>
              <w:spacing w:line="360" w:lineRule="auto"/>
              <w:jc w:val="both"/>
              <w:rPr>
                <w:rFonts w:ascii="Arial" w:hAnsi="Arial" w:cs="Arial"/>
                <w:b/>
                <w:bCs/>
                <w:color w:val="B70954"/>
                <w:sz w:val="24"/>
                <w:szCs w:val="24"/>
              </w:rPr>
            </w:pPr>
            <w:r w:rsidRPr="00A22BF9">
              <w:rPr>
                <w:rFonts w:ascii="Arial" w:hAnsi="Arial" w:cs="Arial"/>
                <w:b/>
                <w:bCs/>
                <w:color w:val="B70954"/>
                <w:sz w:val="24"/>
                <w:szCs w:val="24"/>
              </w:rPr>
              <w:t>Permanent</w:t>
            </w:r>
          </w:p>
        </w:tc>
      </w:tr>
      <w:tr w:rsidR="00A92581" w:rsidRPr="00A92581" w14:paraId="08572986" w14:textId="77777777" w:rsidTr="24C5EF41">
        <w:tc>
          <w:tcPr>
            <w:tcW w:w="2689" w:type="dxa"/>
          </w:tcPr>
          <w:p w14:paraId="5DAC739D" w14:textId="77777777" w:rsidR="00403683" w:rsidRPr="00A22BF9" w:rsidRDefault="00403683" w:rsidP="00403683">
            <w:pPr>
              <w:spacing w:line="360" w:lineRule="auto"/>
              <w:jc w:val="both"/>
              <w:rPr>
                <w:rFonts w:ascii="Arial" w:hAnsi="Arial" w:cs="Arial"/>
                <w:b/>
                <w:color w:val="B70954"/>
                <w:sz w:val="24"/>
                <w:szCs w:val="24"/>
              </w:rPr>
            </w:pPr>
            <w:r w:rsidRPr="00A22BF9">
              <w:rPr>
                <w:rFonts w:ascii="Arial" w:hAnsi="Arial" w:cs="Arial"/>
                <w:b/>
                <w:color w:val="B70954"/>
                <w:sz w:val="24"/>
                <w:szCs w:val="24"/>
              </w:rPr>
              <w:t>Full-time or part-time:</w:t>
            </w:r>
          </w:p>
        </w:tc>
        <w:tc>
          <w:tcPr>
            <w:tcW w:w="6327" w:type="dxa"/>
          </w:tcPr>
          <w:p w14:paraId="3BDC2A7F" w14:textId="79FCB3AE" w:rsidR="00403683" w:rsidRPr="00A22BF9" w:rsidRDefault="006C1851" w:rsidP="00403683">
            <w:pPr>
              <w:spacing w:line="360" w:lineRule="auto"/>
              <w:jc w:val="both"/>
              <w:rPr>
                <w:rFonts w:ascii="Arial" w:hAnsi="Arial" w:cs="Arial"/>
                <w:b/>
                <w:bCs/>
                <w:color w:val="B70954"/>
                <w:sz w:val="24"/>
                <w:szCs w:val="24"/>
              </w:rPr>
            </w:pPr>
            <w:r w:rsidRPr="00A22BF9">
              <w:rPr>
                <w:rFonts w:ascii="Arial" w:hAnsi="Arial" w:cs="Arial"/>
                <w:b/>
                <w:bCs/>
                <w:color w:val="B70954"/>
                <w:sz w:val="24"/>
                <w:szCs w:val="24"/>
              </w:rPr>
              <w:t>Full-time</w:t>
            </w:r>
          </w:p>
        </w:tc>
      </w:tr>
      <w:tr w:rsidR="00403683" w:rsidRPr="00A92581" w14:paraId="67196E7C" w14:textId="77777777" w:rsidTr="24C5EF41">
        <w:tc>
          <w:tcPr>
            <w:tcW w:w="2689" w:type="dxa"/>
          </w:tcPr>
          <w:p w14:paraId="12E0B5ED" w14:textId="77777777" w:rsidR="00403683" w:rsidRPr="00A22BF9" w:rsidRDefault="00403683" w:rsidP="00403683">
            <w:pPr>
              <w:spacing w:line="360" w:lineRule="auto"/>
              <w:jc w:val="both"/>
              <w:rPr>
                <w:rFonts w:ascii="Arial" w:hAnsi="Arial" w:cs="Arial"/>
                <w:b/>
                <w:color w:val="B70954"/>
                <w:sz w:val="24"/>
                <w:szCs w:val="24"/>
              </w:rPr>
            </w:pPr>
            <w:r w:rsidRPr="00A22BF9">
              <w:rPr>
                <w:rFonts w:ascii="Arial" w:hAnsi="Arial" w:cs="Arial"/>
                <w:b/>
                <w:color w:val="B70954"/>
                <w:sz w:val="24"/>
                <w:szCs w:val="24"/>
              </w:rPr>
              <w:t>Location:</w:t>
            </w:r>
          </w:p>
        </w:tc>
        <w:tc>
          <w:tcPr>
            <w:tcW w:w="6327" w:type="dxa"/>
          </w:tcPr>
          <w:p w14:paraId="51AFFA12" w14:textId="465DD3D5" w:rsidR="00403683" w:rsidRPr="00A22BF9" w:rsidRDefault="002100F8" w:rsidP="00403683">
            <w:pPr>
              <w:spacing w:line="360" w:lineRule="auto"/>
              <w:jc w:val="both"/>
              <w:rPr>
                <w:rFonts w:ascii="Arial" w:hAnsi="Arial" w:cs="Arial"/>
                <w:b/>
                <w:bCs/>
                <w:color w:val="B70954"/>
                <w:sz w:val="24"/>
                <w:szCs w:val="24"/>
              </w:rPr>
            </w:pPr>
            <w:r w:rsidRPr="00A22BF9">
              <w:rPr>
                <w:rFonts w:ascii="Arial" w:hAnsi="Arial" w:cs="Arial"/>
                <w:b/>
                <w:bCs/>
                <w:color w:val="B70954"/>
                <w:sz w:val="24"/>
                <w:szCs w:val="24"/>
              </w:rPr>
              <w:t>Manchester</w:t>
            </w:r>
            <w:r w:rsidR="00C26A64">
              <w:rPr>
                <w:rFonts w:ascii="Arial" w:hAnsi="Arial" w:cs="Arial"/>
                <w:b/>
                <w:bCs/>
                <w:color w:val="B70954"/>
                <w:sz w:val="24"/>
                <w:szCs w:val="24"/>
              </w:rPr>
              <w:t>/Hybrid</w:t>
            </w:r>
          </w:p>
        </w:tc>
      </w:tr>
    </w:tbl>
    <w:p w14:paraId="55B0851B" w14:textId="77777777" w:rsidR="00EA2A1B" w:rsidRPr="005E06E1" w:rsidRDefault="00EA2A1B" w:rsidP="009558AD">
      <w:pPr>
        <w:jc w:val="both"/>
        <w:rPr>
          <w:rFonts w:ascii="Arial" w:hAnsi="Arial" w:cs="Arial"/>
          <w:b/>
          <w:bCs/>
          <w:color w:val="8A0045"/>
          <w:sz w:val="24"/>
          <w:szCs w:val="24"/>
        </w:rPr>
      </w:pPr>
    </w:p>
    <w:p w14:paraId="00C14648" w14:textId="77777777" w:rsidR="00E37A30" w:rsidRPr="00A22BF9" w:rsidRDefault="00E37A30" w:rsidP="00E37A30">
      <w:pPr>
        <w:jc w:val="both"/>
        <w:rPr>
          <w:rFonts w:ascii="Arial" w:hAnsi="Arial" w:cs="Arial"/>
          <w:b/>
          <w:bCs/>
          <w:color w:val="B70954"/>
          <w:sz w:val="24"/>
          <w:szCs w:val="24"/>
        </w:rPr>
      </w:pPr>
      <w:r w:rsidRPr="00A22BF9">
        <w:rPr>
          <w:rFonts w:ascii="Arial" w:eastAsia="Times New Roman" w:hAnsi="Arial" w:cs="Arial"/>
          <w:b/>
          <w:bCs/>
          <w:color w:val="B70954"/>
          <w:sz w:val="24"/>
          <w:szCs w:val="24"/>
          <w:lang w:eastAsia="en-GB"/>
        </w:rPr>
        <w:t>About Golden Lane Housing Limited</w:t>
      </w:r>
    </w:p>
    <w:p w14:paraId="46723717" w14:textId="31C097F3" w:rsidR="009558AD" w:rsidRDefault="009558AD" w:rsidP="009558AD">
      <w:pPr>
        <w:jc w:val="both"/>
        <w:rPr>
          <w:rFonts w:ascii="Arial" w:hAnsi="Arial" w:cs="Arial"/>
          <w:color w:val="000000"/>
          <w:sz w:val="24"/>
          <w:szCs w:val="24"/>
          <w:shd w:val="clear" w:color="auto" w:fill="FFFFFF"/>
        </w:rPr>
      </w:pPr>
      <w:r w:rsidRPr="009558AD">
        <w:rPr>
          <w:rFonts w:ascii="Arial" w:hAnsi="Arial" w:cs="Arial"/>
          <w:color w:val="000000"/>
          <w:sz w:val="24"/>
          <w:szCs w:val="24"/>
          <w:shd w:val="clear" w:color="auto" w:fill="FFFFFF"/>
        </w:rPr>
        <w:t>Golden Lane Housing Limited is a Community Benefit Society who works with people with a learning disability to provide supported housing around which they can build their lives</w:t>
      </w:r>
      <w:r>
        <w:rPr>
          <w:rFonts w:ascii="Arial" w:hAnsi="Arial" w:cs="Arial"/>
          <w:color w:val="000000"/>
          <w:sz w:val="24"/>
          <w:szCs w:val="24"/>
          <w:shd w:val="clear" w:color="auto" w:fill="FFFFFF"/>
        </w:rPr>
        <w:t xml:space="preserve"> </w:t>
      </w:r>
      <w:r w:rsidRPr="009558AD">
        <w:rPr>
          <w:rFonts w:ascii="Arial" w:hAnsi="Arial" w:cs="Arial"/>
          <w:color w:val="000000"/>
          <w:sz w:val="24"/>
          <w:szCs w:val="24"/>
          <w:shd w:val="clear" w:color="auto" w:fill="FFFFFF"/>
        </w:rPr>
        <w:t>and to help tackle the immense challenges that people with a learning disability face in finding a home.</w:t>
      </w:r>
    </w:p>
    <w:p w14:paraId="26B8434D" w14:textId="77777777" w:rsidR="0060534D" w:rsidRPr="0060534D" w:rsidRDefault="009558AD" w:rsidP="0060534D">
      <w:pPr>
        <w:jc w:val="both"/>
        <w:rPr>
          <w:rFonts w:ascii="Arial" w:hAnsi="Arial" w:cs="Arial"/>
          <w:color w:val="C00000"/>
          <w:sz w:val="24"/>
          <w:szCs w:val="24"/>
          <w:shd w:val="clear" w:color="auto" w:fill="FFFFFF"/>
        </w:rPr>
      </w:pPr>
      <w:r w:rsidRPr="00A22BF9">
        <w:rPr>
          <w:rFonts w:ascii="Arial" w:eastAsia="Times New Roman" w:hAnsi="Arial" w:cs="Arial"/>
          <w:b/>
          <w:bCs/>
          <w:color w:val="B70954"/>
          <w:sz w:val="24"/>
          <w:szCs w:val="24"/>
          <w:lang w:eastAsia="en-GB"/>
        </w:rPr>
        <w:t>Our vision</w:t>
      </w:r>
      <w:r w:rsidRPr="00A22BF9">
        <w:rPr>
          <w:rFonts w:ascii="Arial" w:hAnsi="Arial" w:cs="Arial"/>
          <w:color w:val="B70954"/>
          <w:sz w:val="24"/>
          <w:szCs w:val="24"/>
          <w:shd w:val="clear" w:color="auto" w:fill="FFFFFF"/>
        </w:rPr>
        <w:t>:</w:t>
      </w:r>
      <w:r w:rsidRPr="00A22BF9">
        <w:rPr>
          <w:rFonts w:ascii="Arial" w:eastAsia="Times New Roman" w:hAnsi="Arial" w:cs="Arial"/>
          <w:color w:val="B70954"/>
          <w:sz w:val="24"/>
          <w:szCs w:val="24"/>
          <w:lang w:eastAsia="en-GB"/>
        </w:rPr>
        <w:t xml:space="preserve"> </w:t>
      </w:r>
      <w:r w:rsidRPr="009558AD">
        <w:rPr>
          <w:rFonts w:ascii="Arial" w:eastAsia="Times New Roman" w:hAnsi="Arial" w:cs="Arial"/>
          <w:color w:val="000000"/>
          <w:sz w:val="24"/>
          <w:szCs w:val="24"/>
          <w:lang w:eastAsia="en-GB"/>
        </w:rPr>
        <w:t>Our vision is a world where everyone with a learning disability has opportunities to access good quality housing that meets their needs.</w:t>
      </w:r>
    </w:p>
    <w:p w14:paraId="05FAA191" w14:textId="77777777" w:rsidR="0060534D" w:rsidRPr="00A22BF9" w:rsidRDefault="003E70B3" w:rsidP="0060534D">
      <w:pPr>
        <w:pStyle w:val="ListParagraph"/>
        <w:shd w:val="clear" w:color="auto" w:fill="FFFFFF"/>
        <w:spacing w:before="100" w:beforeAutospacing="1" w:after="100" w:afterAutospacing="1" w:line="276" w:lineRule="auto"/>
        <w:ind w:left="0"/>
        <w:jc w:val="both"/>
        <w:rPr>
          <w:rStyle w:val="Strong"/>
          <w:rFonts w:ascii="Arial" w:hAnsi="Arial" w:cs="Arial"/>
          <w:b w:val="0"/>
          <w:bCs w:val="0"/>
          <w:color w:val="B70954"/>
          <w:sz w:val="24"/>
          <w:szCs w:val="24"/>
        </w:rPr>
      </w:pPr>
      <w:r w:rsidRPr="00A22BF9">
        <w:rPr>
          <w:rFonts w:ascii="Arial" w:hAnsi="Arial" w:cs="Arial"/>
          <w:b/>
          <w:color w:val="B70954"/>
          <w:sz w:val="24"/>
          <w:szCs w:val="24"/>
        </w:rPr>
        <w:t>Our values</w:t>
      </w:r>
      <w:r w:rsidR="0060534D" w:rsidRPr="00A22BF9">
        <w:rPr>
          <w:rFonts w:ascii="Arial" w:hAnsi="Arial" w:cs="Arial"/>
          <w:b/>
          <w:color w:val="B70954"/>
          <w:sz w:val="24"/>
          <w:szCs w:val="24"/>
        </w:rPr>
        <w:t>:</w:t>
      </w:r>
      <w:r w:rsidR="0060534D" w:rsidRPr="00A22BF9">
        <w:rPr>
          <w:rStyle w:val="Strong"/>
          <w:rFonts w:ascii="Arial" w:hAnsi="Arial" w:cs="Arial"/>
          <w:b w:val="0"/>
          <w:color w:val="B70954"/>
          <w:sz w:val="24"/>
          <w:szCs w:val="24"/>
        </w:rPr>
        <w:t xml:space="preserve"> </w:t>
      </w:r>
    </w:p>
    <w:p w14:paraId="7B14DAD0" w14:textId="77777777" w:rsidR="0060534D"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A22BF9">
        <w:rPr>
          <w:rStyle w:val="Strong"/>
          <w:rFonts w:ascii="Arial" w:hAnsi="Arial" w:cs="Arial"/>
          <w:color w:val="B70954"/>
          <w:sz w:val="24"/>
          <w:szCs w:val="24"/>
        </w:rPr>
        <w:t>Caring:</w:t>
      </w:r>
      <w:r w:rsidRPr="00AC30CC">
        <w:rPr>
          <w:rFonts w:ascii="Arial" w:hAnsi="Arial" w:cs="Arial"/>
          <w:color w:val="8A0045"/>
          <w:sz w:val="24"/>
          <w:szCs w:val="24"/>
        </w:rPr>
        <w:t> </w:t>
      </w:r>
      <w:r w:rsidRPr="0060534D">
        <w:rPr>
          <w:rFonts w:ascii="Arial" w:hAnsi="Arial" w:cs="Arial"/>
          <w:color w:val="212529"/>
          <w:sz w:val="24"/>
          <w:szCs w:val="24"/>
        </w:rPr>
        <w:t>we support our tenants and colleagues and help them to achieve goals.</w:t>
      </w:r>
    </w:p>
    <w:p w14:paraId="6A1B6508" w14:textId="77777777" w:rsidR="0060534D" w:rsidRPr="004024C0"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8A0045"/>
          <w:sz w:val="24"/>
          <w:szCs w:val="24"/>
        </w:rPr>
      </w:pPr>
      <w:r w:rsidRPr="00A22BF9">
        <w:rPr>
          <w:rStyle w:val="Strong"/>
          <w:rFonts w:ascii="Arial" w:hAnsi="Arial" w:cs="Arial"/>
          <w:color w:val="B70954"/>
          <w:sz w:val="24"/>
          <w:szCs w:val="24"/>
        </w:rPr>
        <w:t>Listening:</w:t>
      </w:r>
      <w:r w:rsidRPr="00A22BF9">
        <w:rPr>
          <w:rFonts w:ascii="Arial" w:hAnsi="Arial" w:cs="Arial"/>
          <w:color w:val="B70954"/>
          <w:sz w:val="24"/>
          <w:szCs w:val="24"/>
        </w:rPr>
        <w:t> </w:t>
      </w:r>
      <w:r w:rsidRPr="005050B1">
        <w:rPr>
          <w:rFonts w:ascii="Arial" w:hAnsi="Arial" w:cs="Arial"/>
          <w:sz w:val="24"/>
          <w:szCs w:val="24"/>
        </w:rPr>
        <w:t>we involve tenants in the review and design of housing services.</w:t>
      </w:r>
    </w:p>
    <w:p w14:paraId="37FFCD55" w14:textId="77777777" w:rsidR="0060534D"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A22BF9">
        <w:rPr>
          <w:rStyle w:val="Strong"/>
          <w:rFonts w:ascii="Arial" w:hAnsi="Arial" w:cs="Arial"/>
          <w:color w:val="B70954"/>
          <w:sz w:val="24"/>
          <w:szCs w:val="24"/>
        </w:rPr>
        <w:t>Honesty:</w:t>
      </w:r>
      <w:r w:rsidRPr="00AC30CC">
        <w:rPr>
          <w:rFonts w:ascii="Arial" w:hAnsi="Arial" w:cs="Arial"/>
          <w:color w:val="8A0045"/>
          <w:sz w:val="24"/>
          <w:szCs w:val="24"/>
        </w:rPr>
        <w:t> </w:t>
      </w:r>
      <w:r w:rsidRPr="0060534D">
        <w:rPr>
          <w:rFonts w:ascii="Arial" w:hAnsi="Arial" w:cs="Arial"/>
          <w:color w:val="212529"/>
          <w:sz w:val="24"/>
          <w:szCs w:val="24"/>
        </w:rPr>
        <w:t>we build trust with tenants and families with fairness.</w:t>
      </w:r>
    </w:p>
    <w:p w14:paraId="6B74FF28" w14:textId="77777777" w:rsidR="0060534D"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A22BF9">
        <w:rPr>
          <w:rStyle w:val="Strong"/>
          <w:rFonts w:ascii="Arial" w:hAnsi="Arial" w:cs="Arial"/>
          <w:color w:val="B70954"/>
          <w:sz w:val="24"/>
          <w:szCs w:val="24"/>
        </w:rPr>
        <w:t>Reliable:</w:t>
      </w:r>
      <w:r w:rsidRPr="0060534D">
        <w:rPr>
          <w:rFonts w:ascii="Arial" w:hAnsi="Arial" w:cs="Arial"/>
          <w:color w:val="212529"/>
          <w:sz w:val="24"/>
          <w:szCs w:val="24"/>
        </w:rPr>
        <w:t> we are dependable and trusted to keep our standards and commitments.</w:t>
      </w:r>
    </w:p>
    <w:p w14:paraId="026D941A" w14:textId="77777777" w:rsidR="003E70B3" w:rsidRPr="0060534D" w:rsidRDefault="0060534D" w:rsidP="0060534D">
      <w:pPr>
        <w:pStyle w:val="ListParagraph"/>
        <w:numPr>
          <w:ilvl w:val="0"/>
          <w:numId w:val="7"/>
        </w:numPr>
        <w:shd w:val="clear" w:color="auto" w:fill="FFFFFF"/>
        <w:spacing w:before="100" w:beforeAutospacing="1" w:after="100" w:afterAutospacing="1" w:line="276" w:lineRule="auto"/>
        <w:jc w:val="both"/>
        <w:rPr>
          <w:rFonts w:ascii="Arial" w:hAnsi="Arial" w:cs="Arial"/>
          <w:color w:val="212529"/>
          <w:sz w:val="24"/>
          <w:szCs w:val="24"/>
        </w:rPr>
      </w:pPr>
      <w:r w:rsidRPr="00A22BF9">
        <w:rPr>
          <w:rStyle w:val="Strong"/>
          <w:rFonts w:ascii="Arial" w:hAnsi="Arial" w:cs="Arial"/>
          <w:color w:val="B70954"/>
          <w:sz w:val="24"/>
          <w:szCs w:val="24"/>
        </w:rPr>
        <w:t>Creative:</w:t>
      </w:r>
      <w:r w:rsidRPr="0060534D">
        <w:rPr>
          <w:rFonts w:ascii="Arial" w:hAnsi="Arial" w:cs="Arial"/>
          <w:color w:val="C00000"/>
          <w:sz w:val="24"/>
          <w:szCs w:val="24"/>
        </w:rPr>
        <w:t> </w:t>
      </w:r>
      <w:r w:rsidRPr="0060534D">
        <w:rPr>
          <w:rFonts w:ascii="Arial" w:hAnsi="Arial" w:cs="Arial"/>
          <w:color w:val="212529"/>
          <w:sz w:val="24"/>
          <w:szCs w:val="24"/>
        </w:rPr>
        <w:t>we work together in many different ways for great results</w:t>
      </w:r>
    </w:p>
    <w:p w14:paraId="40D75295" w14:textId="77777777" w:rsidR="009558AD" w:rsidRPr="00A22BF9" w:rsidRDefault="009558AD" w:rsidP="009558AD">
      <w:pPr>
        <w:shd w:val="clear" w:color="auto" w:fill="FFFFFF"/>
        <w:spacing w:after="225" w:line="450" w:lineRule="atLeast"/>
        <w:jc w:val="both"/>
        <w:textAlignment w:val="baseline"/>
        <w:outlineLvl w:val="2"/>
        <w:rPr>
          <w:rFonts w:ascii="Arial" w:eastAsia="Times New Roman" w:hAnsi="Arial" w:cs="Arial"/>
          <w:b/>
          <w:bCs/>
          <w:color w:val="B70954"/>
          <w:sz w:val="24"/>
          <w:szCs w:val="24"/>
          <w:lang w:eastAsia="en-GB"/>
        </w:rPr>
      </w:pPr>
      <w:r w:rsidRPr="00A22BF9">
        <w:rPr>
          <w:rFonts w:ascii="Arial" w:eastAsia="Times New Roman" w:hAnsi="Arial" w:cs="Arial"/>
          <w:b/>
          <w:bCs/>
          <w:color w:val="B70954"/>
          <w:sz w:val="24"/>
          <w:szCs w:val="24"/>
          <w:lang w:eastAsia="en-GB"/>
        </w:rPr>
        <w:t>About the role</w:t>
      </w:r>
    </w:p>
    <w:p w14:paraId="4169890F" w14:textId="74AD2B39" w:rsidR="000B0863" w:rsidRPr="005211D1" w:rsidRDefault="00024B0D" w:rsidP="000B0863">
      <w:pPr>
        <w:pStyle w:val="Default"/>
        <w:jc w:val="both"/>
        <w:rPr>
          <w:rFonts w:ascii="Arial" w:hAnsi="Arial" w:cs="Arial"/>
        </w:rPr>
      </w:pPr>
      <w:r>
        <w:rPr>
          <w:rFonts w:ascii="Arial" w:hAnsi="Arial" w:cs="Arial"/>
        </w:rPr>
        <w:t>The</w:t>
      </w:r>
      <w:r w:rsidR="00134C69">
        <w:rPr>
          <w:rFonts w:ascii="Arial" w:hAnsi="Arial" w:cs="Arial"/>
        </w:rPr>
        <w:t xml:space="preserve"> </w:t>
      </w:r>
      <w:r w:rsidR="006B4070">
        <w:rPr>
          <w:rFonts w:ascii="Arial" w:hAnsi="Arial" w:cs="Arial"/>
        </w:rPr>
        <w:t>Finance Assistant – Corporate Finance (Finance Assistant) will support the Management Accountant</w:t>
      </w:r>
      <w:r w:rsidR="001138EA">
        <w:rPr>
          <w:rFonts w:ascii="Arial" w:hAnsi="Arial" w:cs="Arial"/>
        </w:rPr>
        <w:t xml:space="preserve"> </w:t>
      </w:r>
      <w:r w:rsidR="00CB668D">
        <w:rPr>
          <w:rFonts w:ascii="Arial" w:hAnsi="Arial" w:cs="Arial"/>
        </w:rPr>
        <w:t>and</w:t>
      </w:r>
      <w:r w:rsidR="00017FCF">
        <w:rPr>
          <w:rFonts w:ascii="Arial" w:hAnsi="Arial" w:cs="Arial"/>
        </w:rPr>
        <w:t xml:space="preserve"> be </w:t>
      </w:r>
      <w:r w:rsidR="000B0863" w:rsidRPr="005211D1">
        <w:rPr>
          <w:rFonts w:ascii="Arial" w:hAnsi="Arial" w:cs="Arial"/>
        </w:rPr>
        <w:t xml:space="preserve">central to the </w:t>
      </w:r>
      <w:r w:rsidR="00172583">
        <w:rPr>
          <w:rFonts w:ascii="Arial" w:hAnsi="Arial" w:cs="Arial"/>
        </w:rPr>
        <w:t xml:space="preserve">smooth delivery of </w:t>
      </w:r>
      <w:r w:rsidR="00E70648">
        <w:rPr>
          <w:rFonts w:ascii="Arial" w:hAnsi="Arial" w:cs="Arial"/>
        </w:rPr>
        <w:t>the</w:t>
      </w:r>
      <w:r w:rsidR="000B0863" w:rsidRPr="005211D1">
        <w:rPr>
          <w:rFonts w:ascii="Arial" w:hAnsi="Arial" w:cs="Arial"/>
        </w:rPr>
        <w:t xml:space="preserve"> Finance function, ensuring </w:t>
      </w:r>
      <w:r w:rsidR="00883D44">
        <w:rPr>
          <w:rFonts w:ascii="Arial" w:hAnsi="Arial" w:cs="Arial"/>
        </w:rPr>
        <w:t>strong</w:t>
      </w:r>
      <w:r w:rsidR="00C41C34">
        <w:rPr>
          <w:rFonts w:ascii="Arial" w:hAnsi="Arial" w:cs="Arial"/>
        </w:rPr>
        <w:t xml:space="preserve"> </w:t>
      </w:r>
      <w:r w:rsidR="000B0863" w:rsidRPr="005211D1">
        <w:rPr>
          <w:rFonts w:ascii="Arial" w:hAnsi="Arial" w:cs="Arial"/>
        </w:rPr>
        <w:t xml:space="preserve">financial </w:t>
      </w:r>
      <w:r w:rsidR="00B36932">
        <w:rPr>
          <w:rFonts w:ascii="Arial" w:hAnsi="Arial" w:cs="Arial"/>
        </w:rPr>
        <w:t>controls and</w:t>
      </w:r>
      <w:r w:rsidR="00D34A86">
        <w:rPr>
          <w:rFonts w:ascii="Arial" w:hAnsi="Arial" w:cs="Arial"/>
        </w:rPr>
        <w:t xml:space="preserve"> accurate and timely </w:t>
      </w:r>
      <w:r w:rsidR="00883D44">
        <w:rPr>
          <w:rFonts w:ascii="Arial" w:hAnsi="Arial" w:cs="Arial"/>
        </w:rPr>
        <w:t>financial reporting</w:t>
      </w:r>
      <w:r w:rsidR="007E0E12">
        <w:rPr>
          <w:rFonts w:ascii="Arial" w:hAnsi="Arial" w:cs="Arial"/>
        </w:rPr>
        <w:t>.</w:t>
      </w:r>
      <w:r w:rsidR="00CC7CF7">
        <w:rPr>
          <w:rFonts w:ascii="Arial" w:hAnsi="Arial" w:cs="Arial"/>
        </w:rPr>
        <w:t xml:space="preserve"> </w:t>
      </w:r>
    </w:p>
    <w:p w14:paraId="2A637F9A" w14:textId="77777777" w:rsidR="000B0863" w:rsidRPr="005211D1" w:rsidRDefault="000B0863" w:rsidP="000B0863">
      <w:pPr>
        <w:pStyle w:val="Default"/>
        <w:jc w:val="both"/>
        <w:rPr>
          <w:rFonts w:ascii="Arial" w:hAnsi="Arial" w:cs="Arial"/>
        </w:rPr>
      </w:pPr>
    </w:p>
    <w:p w14:paraId="7100A9D3" w14:textId="31ADF2EB" w:rsidR="007B29C4" w:rsidRDefault="007B29C4" w:rsidP="000B0863">
      <w:pPr>
        <w:pStyle w:val="Default"/>
        <w:jc w:val="both"/>
        <w:rPr>
          <w:rFonts w:ascii="Arial" w:hAnsi="Arial" w:cs="Arial"/>
        </w:rPr>
      </w:pPr>
      <w:r>
        <w:rPr>
          <w:rFonts w:ascii="Arial" w:hAnsi="Arial" w:cs="Arial"/>
        </w:rPr>
        <w:t xml:space="preserve">The </w:t>
      </w:r>
      <w:r w:rsidR="001138EA">
        <w:rPr>
          <w:rFonts w:ascii="Arial" w:hAnsi="Arial" w:cs="Arial"/>
        </w:rPr>
        <w:t xml:space="preserve">Finance Assistant will support the Business Partnering </w:t>
      </w:r>
      <w:r w:rsidR="003E1B25">
        <w:rPr>
          <w:rFonts w:ascii="Arial" w:hAnsi="Arial" w:cs="Arial"/>
        </w:rPr>
        <w:t xml:space="preserve">service </w:t>
      </w:r>
      <w:r w:rsidR="001138EA">
        <w:rPr>
          <w:rFonts w:ascii="Arial" w:hAnsi="Arial" w:cs="Arial"/>
        </w:rPr>
        <w:t>in relation to Budget support across the organisation</w:t>
      </w:r>
      <w:r w:rsidR="00B36932">
        <w:rPr>
          <w:rFonts w:ascii="Arial" w:hAnsi="Arial" w:cs="Arial"/>
        </w:rPr>
        <w:t xml:space="preserve">. </w:t>
      </w:r>
      <w:r w:rsidR="001138EA">
        <w:rPr>
          <w:rFonts w:ascii="Arial" w:hAnsi="Arial" w:cs="Arial"/>
        </w:rPr>
        <w:t>The Finance Assistant will support budget</w:t>
      </w:r>
      <w:r w:rsidR="003E1B25">
        <w:rPr>
          <w:rFonts w:ascii="Arial" w:hAnsi="Arial" w:cs="Arial"/>
        </w:rPr>
        <w:t xml:space="preserve"> </w:t>
      </w:r>
      <w:r w:rsidR="001138EA">
        <w:rPr>
          <w:rFonts w:ascii="Arial" w:hAnsi="Arial" w:cs="Arial"/>
        </w:rPr>
        <w:t>holder</w:t>
      </w:r>
      <w:r w:rsidR="003E1B25">
        <w:rPr>
          <w:rFonts w:ascii="Arial" w:hAnsi="Arial" w:cs="Arial"/>
        </w:rPr>
        <w:t>s</w:t>
      </w:r>
      <w:r w:rsidR="001138EA">
        <w:rPr>
          <w:rFonts w:ascii="Arial" w:hAnsi="Arial" w:cs="Arial"/>
        </w:rPr>
        <w:t xml:space="preserve"> by attending monthly budget meetings and providing budget information to assist </w:t>
      </w:r>
      <w:r w:rsidR="0075058A">
        <w:rPr>
          <w:rFonts w:ascii="Arial" w:hAnsi="Arial" w:cs="Arial"/>
        </w:rPr>
        <w:t>in strong</w:t>
      </w:r>
      <w:r w:rsidR="003E1B25">
        <w:rPr>
          <w:rFonts w:ascii="Arial" w:hAnsi="Arial" w:cs="Arial"/>
        </w:rPr>
        <w:t xml:space="preserve"> explanations of any </w:t>
      </w:r>
      <w:r w:rsidR="00B36932">
        <w:rPr>
          <w:rFonts w:ascii="Arial" w:hAnsi="Arial" w:cs="Arial"/>
        </w:rPr>
        <w:t>variances</w:t>
      </w:r>
      <w:r w:rsidR="003E1B25">
        <w:rPr>
          <w:rFonts w:ascii="Arial" w:hAnsi="Arial" w:cs="Arial"/>
        </w:rPr>
        <w:t xml:space="preserve"> and the setting of future budgets</w:t>
      </w:r>
      <w:r w:rsidR="00B36932">
        <w:rPr>
          <w:rFonts w:ascii="Arial" w:hAnsi="Arial" w:cs="Arial"/>
        </w:rPr>
        <w:t xml:space="preserve">. </w:t>
      </w:r>
      <w:r w:rsidR="003E1B25">
        <w:rPr>
          <w:rFonts w:ascii="Arial" w:hAnsi="Arial" w:cs="Arial"/>
        </w:rPr>
        <w:t>There is a requirement to support the production of the management accounts</w:t>
      </w:r>
      <w:r w:rsidR="00B36932">
        <w:rPr>
          <w:rFonts w:ascii="Arial" w:hAnsi="Arial" w:cs="Arial"/>
        </w:rPr>
        <w:t xml:space="preserve">. </w:t>
      </w:r>
    </w:p>
    <w:p w14:paraId="62EACABA" w14:textId="77777777" w:rsidR="007B29C4" w:rsidRDefault="007B29C4" w:rsidP="000B0863">
      <w:pPr>
        <w:pStyle w:val="Default"/>
        <w:jc w:val="both"/>
        <w:rPr>
          <w:rFonts w:ascii="Arial" w:hAnsi="Arial" w:cs="Arial"/>
        </w:rPr>
      </w:pPr>
    </w:p>
    <w:p w14:paraId="76A99919" w14:textId="015595ED" w:rsidR="003E1B25" w:rsidRDefault="000B0863" w:rsidP="003E1B25">
      <w:pPr>
        <w:pStyle w:val="Default"/>
        <w:jc w:val="both"/>
        <w:rPr>
          <w:rFonts w:ascii="Arial" w:hAnsi="Arial" w:cs="Arial"/>
          <w:b/>
          <w:bCs/>
          <w:color w:val="B70954"/>
        </w:rPr>
      </w:pPr>
      <w:r w:rsidRPr="005211D1">
        <w:rPr>
          <w:rFonts w:ascii="Arial" w:hAnsi="Arial" w:cs="Arial"/>
        </w:rPr>
        <w:t>The</w:t>
      </w:r>
      <w:r w:rsidR="00B04BE1">
        <w:rPr>
          <w:rFonts w:ascii="Arial" w:hAnsi="Arial" w:cs="Arial"/>
        </w:rPr>
        <w:t xml:space="preserve"> </w:t>
      </w:r>
      <w:r w:rsidR="003E1B25">
        <w:rPr>
          <w:rFonts w:ascii="Arial" w:hAnsi="Arial" w:cs="Arial"/>
        </w:rPr>
        <w:t xml:space="preserve">Finance Assistant </w:t>
      </w:r>
      <w:r w:rsidR="00CB668D">
        <w:rPr>
          <w:rFonts w:ascii="Arial" w:hAnsi="Arial" w:cs="Arial"/>
        </w:rPr>
        <w:t xml:space="preserve">will be responsible for </w:t>
      </w:r>
      <w:r w:rsidR="003E1B25">
        <w:rPr>
          <w:rFonts w:ascii="Arial" w:hAnsi="Arial" w:cs="Arial"/>
        </w:rPr>
        <w:t xml:space="preserve">contributing to the </w:t>
      </w:r>
      <w:r w:rsidR="00B36932">
        <w:rPr>
          <w:rFonts w:ascii="Arial" w:hAnsi="Arial" w:cs="Arial"/>
        </w:rPr>
        <w:t>Management</w:t>
      </w:r>
      <w:r w:rsidR="003E1B25">
        <w:rPr>
          <w:rFonts w:ascii="Arial" w:hAnsi="Arial" w:cs="Arial"/>
        </w:rPr>
        <w:t xml:space="preserve"> Accounts and </w:t>
      </w:r>
      <w:r w:rsidR="00B36932">
        <w:rPr>
          <w:rFonts w:ascii="Arial" w:hAnsi="Arial" w:cs="Arial"/>
        </w:rPr>
        <w:t>monthly</w:t>
      </w:r>
      <w:r w:rsidR="003E1B25">
        <w:rPr>
          <w:rFonts w:ascii="Arial" w:hAnsi="Arial" w:cs="Arial"/>
        </w:rPr>
        <w:t xml:space="preserve"> processing accruals and prepayments</w:t>
      </w:r>
      <w:r w:rsidR="00B36932">
        <w:rPr>
          <w:rFonts w:ascii="Arial" w:hAnsi="Arial" w:cs="Arial"/>
        </w:rPr>
        <w:t xml:space="preserve">. </w:t>
      </w:r>
      <w:r w:rsidR="003E1B25">
        <w:rPr>
          <w:rFonts w:ascii="Arial" w:hAnsi="Arial" w:cs="Arial"/>
        </w:rPr>
        <w:t>The role will also require the reconciliation and management of Council Tax liability for GLH.</w:t>
      </w:r>
    </w:p>
    <w:p w14:paraId="51FAEFF3" w14:textId="1DA67790" w:rsidR="002B0DE0" w:rsidRDefault="002B0DE0">
      <w:pPr>
        <w:rPr>
          <w:rFonts w:ascii="Arial" w:hAnsi="Arial" w:cs="Arial"/>
          <w:b/>
          <w:bCs/>
          <w:color w:val="B70954"/>
          <w:sz w:val="24"/>
          <w:szCs w:val="24"/>
        </w:rPr>
      </w:pPr>
    </w:p>
    <w:p w14:paraId="4143029D" w14:textId="77777777" w:rsidR="003E1B25" w:rsidRDefault="00BE026F" w:rsidP="003E1B25">
      <w:pPr>
        <w:jc w:val="both"/>
        <w:rPr>
          <w:rFonts w:ascii="Arial" w:hAnsi="Arial" w:cs="Arial"/>
          <w:b/>
          <w:bCs/>
          <w:color w:val="B70954"/>
          <w:sz w:val="24"/>
          <w:szCs w:val="24"/>
        </w:rPr>
      </w:pPr>
      <w:r w:rsidRPr="00A22BF9">
        <w:rPr>
          <w:rFonts w:ascii="Arial" w:hAnsi="Arial" w:cs="Arial"/>
          <w:b/>
          <w:bCs/>
          <w:color w:val="B70954"/>
          <w:sz w:val="24"/>
          <w:szCs w:val="24"/>
        </w:rPr>
        <w:t xml:space="preserve">Responsibilities </w:t>
      </w:r>
      <w:r>
        <w:rPr>
          <w:rFonts w:ascii="Arial" w:hAnsi="Arial" w:cs="Arial"/>
          <w:b/>
          <w:bCs/>
          <w:color w:val="B70954"/>
          <w:sz w:val="24"/>
          <w:szCs w:val="24"/>
        </w:rPr>
        <w:t xml:space="preserve">– </w:t>
      </w:r>
      <w:r w:rsidR="003E1B25">
        <w:rPr>
          <w:rFonts w:ascii="Arial" w:hAnsi="Arial" w:cs="Arial"/>
          <w:b/>
          <w:bCs/>
          <w:color w:val="B70954"/>
          <w:sz w:val="24"/>
          <w:szCs w:val="24"/>
        </w:rPr>
        <w:t>Finance Assistant – Corporate Finance will be:</w:t>
      </w:r>
    </w:p>
    <w:p w14:paraId="075F9139" w14:textId="5ECB991B" w:rsidR="003E1B25" w:rsidRPr="003E1B25" w:rsidRDefault="00432EDC" w:rsidP="003E1B25">
      <w:pPr>
        <w:pStyle w:val="ListParagraph"/>
        <w:numPr>
          <w:ilvl w:val="0"/>
          <w:numId w:val="14"/>
        </w:numPr>
        <w:jc w:val="both"/>
        <w:rPr>
          <w:rFonts w:ascii="Arial" w:hAnsi="Arial" w:cs="Arial"/>
        </w:rPr>
      </w:pPr>
      <w:r w:rsidRPr="003E1B25">
        <w:rPr>
          <w:rFonts w:ascii="Arial" w:hAnsi="Arial" w:cs="Arial"/>
        </w:rPr>
        <w:t>R</w:t>
      </w:r>
      <w:r w:rsidR="006206D4" w:rsidRPr="003E1B25">
        <w:rPr>
          <w:rFonts w:ascii="Arial" w:hAnsi="Arial" w:cs="Arial"/>
        </w:rPr>
        <w:t xml:space="preserve">esponsible for </w:t>
      </w:r>
      <w:r w:rsidR="003E1B25" w:rsidRPr="003E1B25">
        <w:rPr>
          <w:rFonts w:ascii="Arial" w:hAnsi="Arial" w:cs="Arial"/>
        </w:rPr>
        <w:t xml:space="preserve">monthly budget meetings and providing </w:t>
      </w:r>
      <w:r w:rsidR="00B36932" w:rsidRPr="003E1B25">
        <w:rPr>
          <w:rFonts w:ascii="Arial" w:hAnsi="Arial" w:cs="Arial"/>
        </w:rPr>
        <w:t>budget holders</w:t>
      </w:r>
      <w:r w:rsidR="003E1B25" w:rsidRPr="003E1B25">
        <w:rPr>
          <w:rFonts w:ascii="Arial" w:hAnsi="Arial" w:cs="Arial"/>
        </w:rPr>
        <w:t xml:space="preserve"> with financial information to assist in </w:t>
      </w:r>
      <w:r w:rsidR="003E1B25">
        <w:rPr>
          <w:rFonts w:ascii="Arial" w:hAnsi="Arial" w:cs="Arial"/>
        </w:rPr>
        <w:t>decision making</w:t>
      </w:r>
      <w:r w:rsidR="003E1B25" w:rsidRPr="003E1B25">
        <w:rPr>
          <w:rFonts w:ascii="Arial" w:hAnsi="Arial" w:cs="Arial"/>
        </w:rPr>
        <w:t>.</w:t>
      </w:r>
    </w:p>
    <w:p w14:paraId="21CEF58B" w14:textId="649F7721" w:rsidR="003E1B25" w:rsidRDefault="003E1B25" w:rsidP="00BE026F">
      <w:pPr>
        <w:pStyle w:val="ListParagraph"/>
        <w:numPr>
          <w:ilvl w:val="0"/>
          <w:numId w:val="14"/>
        </w:numPr>
        <w:spacing w:line="240" w:lineRule="auto"/>
        <w:jc w:val="both"/>
        <w:rPr>
          <w:rFonts w:ascii="Arial" w:hAnsi="Arial" w:cs="Arial"/>
        </w:rPr>
      </w:pPr>
      <w:r>
        <w:rPr>
          <w:rFonts w:ascii="Arial" w:hAnsi="Arial" w:cs="Arial"/>
        </w:rPr>
        <w:t>Assisting in the p</w:t>
      </w:r>
      <w:r w:rsidR="006206D4" w:rsidRPr="002B0DE0">
        <w:rPr>
          <w:rFonts w:ascii="Arial" w:hAnsi="Arial" w:cs="Arial"/>
        </w:rPr>
        <w:t xml:space="preserve">roduction of the </w:t>
      </w:r>
      <w:r>
        <w:rPr>
          <w:rFonts w:ascii="Arial" w:hAnsi="Arial" w:cs="Arial"/>
        </w:rPr>
        <w:t>management accounts.</w:t>
      </w:r>
    </w:p>
    <w:p w14:paraId="325A7B5A" w14:textId="2333BA85" w:rsidR="006206D4" w:rsidRDefault="003E1B25" w:rsidP="00BE026F">
      <w:pPr>
        <w:pStyle w:val="ListParagraph"/>
        <w:numPr>
          <w:ilvl w:val="0"/>
          <w:numId w:val="14"/>
        </w:numPr>
        <w:spacing w:line="240" w:lineRule="auto"/>
        <w:jc w:val="both"/>
        <w:rPr>
          <w:rFonts w:ascii="Arial" w:hAnsi="Arial" w:cs="Arial"/>
        </w:rPr>
      </w:pPr>
      <w:r>
        <w:rPr>
          <w:rFonts w:ascii="Arial" w:hAnsi="Arial" w:cs="Arial"/>
        </w:rPr>
        <w:lastRenderedPageBreak/>
        <w:t>Processing Accruals and Prepayments and monthly reconciliation of allocated Statement of Financial Position accounts.</w:t>
      </w:r>
    </w:p>
    <w:p w14:paraId="698CD0E3" w14:textId="505C333C" w:rsidR="003E1B25" w:rsidRPr="002B0DE0" w:rsidRDefault="003E1B25" w:rsidP="00BE026F">
      <w:pPr>
        <w:pStyle w:val="ListParagraph"/>
        <w:numPr>
          <w:ilvl w:val="0"/>
          <w:numId w:val="14"/>
        </w:numPr>
        <w:spacing w:line="240" w:lineRule="auto"/>
        <w:jc w:val="both"/>
        <w:rPr>
          <w:rFonts w:ascii="Arial" w:hAnsi="Arial" w:cs="Arial"/>
        </w:rPr>
      </w:pPr>
      <w:r>
        <w:rPr>
          <w:rFonts w:ascii="Arial" w:hAnsi="Arial" w:cs="Arial"/>
        </w:rPr>
        <w:t>Responsible for the management of Council Tax and ensuring accurate and timely payment.</w:t>
      </w:r>
    </w:p>
    <w:p w14:paraId="6BFF8ECC" w14:textId="1329AEB0" w:rsidR="006206D4" w:rsidRDefault="003E1B25" w:rsidP="00BE026F">
      <w:pPr>
        <w:pStyle w:val="ListParagraph"/>
        <w:numPr>
          <w:ilvl w:val="0"/>
          <w:numId w:val="14"/>
        </w:numPr>
        <w:spacing w:line="240" w:lineRule="auto"/>
        <w:jc w:val="both"/>
        <w:rPr>
          <w:rFonts w:ascii="Arial" w:hAnsi="Arial" w:cs="Arial"/>
        </w:rPr>
      </w:pPr>
      <w:r>
        <w:rPr>
          <w:rFonts w:ascii="Arial" w:hAnsi="Arial" w:cs="Arial"/>
        </w:rPr>
        <w:t>Assist in reconciliation work in relation to key partners for ensuring correct payment</w:t>
      </w:r>
      <w:r w:rsidR="006206D4" w:rsidRPr="002B0DE0">
        <w:rPr>
          <w:rFonts w:ascii="Arial" w:hAnsi="Arial" w:cs="Arial"/>
        </w:rPr>
        <w:t>.</w:t>
      </w:r>
    </w:p>
    <w:p w14:paraId="6C388C2C" w14:textId="643B1898" w:rsidR="003E1B25" w:rsidRPr="002B0DE0" w:rsidRDefault="003E1B25" w:rsidP="00BE026F">
      <w:pPr>
        <w:pStyle w:val="ListParagraph"/>
        <w:numPr>
          <w:ilvl w:val="0"/>
          <w:numId w:val="14"/>
        </w:numPr>
        <w:spacing w:line="240" w:lineRule="auto"/>
        <w:jc w:val="both"/>
        <w:rPr>
          <w:rFonts w:ascii="Arial" w:hAnsi="Arial" w:cs="Arial"/>
        </w:rPr>
      </w:pPr>
      <w:r>
        <w:rPr>
          <w:rFonts w:ascii="Arial" w:hAnsi="Arial" w:cs="Arial"/>
        </w:rPr>
        <w:t>Occasionally rotating across the Finance Team depending on pressure points within the</w:t>
      </w:r>
      <w:r w:rsidR="00D21CC1">
        <w:rPr>
          <w:rFonts w:ascii="Arial" w:hAnsi="Arial" w:cs="Arial"/>
        </w:rPr>
        <w:t xml:space="preserve"> </w:t>
      </w:r>
      <w:r>
        <w:rPr>
          <w:rFonts w:ascii="Arial" w:hAnsi="Arial" w:cs="Arial"/>
        </w:rPr>
        <w:t>Team.</w:t>
      </w:r>
    </w:p>
    <w:p w14:paraId="6CD084B7" w14:textId="42299049" w:rsidR="002B0DE0" w:rsidRPr="006753C6" w:rsidRDefault="002B0DE0" w:rsidP="002B0DE0">
      <w:pPr>
        <w:pStyle w:val="ListParagraph"/>
        <w:numPr>
          <w:ilvl w:val="0"/>
          <w:numId w:val="14"/>
        </w:numPr>
        <w:spacing w:line="240" w:lineRule="auto"/>
        <w:jc w:val="both"/>
        <w:rPr>
          <w:rFonts w:ascii="Arial" w:hAnsi="Arial" w:cs="Arial"/>
        </w:rPr>
      </w:pPr>
      <w:r w:rsidRPr="002B0DE0">
        <w:rPr>
          <w:rFonts w:ascii="Arial" w:hAnsi="Arial" w:cs="Arial"/>
        </w:rPr>
        <w:t xml:space="preserve">Support the </w:t>
      </w:r>
      <w:r w:rsidR="001B3B9B">
        <w:rPr>
          <w:rFonts w:ascii="Arial" w:hAnsi="Arial" w:cs="Arial"/>
        </w:rPr>
        <w:t xml:space="preserve">Management Accountant </w:t>
      </w:r>
      <w:r w:rsidRPr="002B0DE0">
        <w:rPr>
          <w:rFonts w:ascii="Arial" w:hAnsi="Arial" w:cs="Arial"/>
        </w:rPr>
        <w:t>as and when required, with</w:t>
      </w:r>
      <w:r w:rsidRPr="006753C6">
        <w:rPr>
          <w:rFonts w:ascii="Arial" w:hAnsi="Arial" w:cs="Arial"/>
        </w:rPr>
        <w:t xml:space="preserve"> other aspects that fall within the remit of the Finance Team.</w:t>
      </w:r>
    </w:p>
    <w:p w14:paraId="4E6FCB2D" w14:textId="77777777" w:rsidR="002B0DE0" w:rsidRDefault="002B0DE0" w:rsidP="002B0DE0">
      <w:pPr>
        <w:pStyle w:val="ListParagraph"/>
        <w:spacing w:line="240" w:lineRule="auto"/>
        <w:jc w:val="both"/>
        <w:rPr>
          <w:rFonts w:ascii="Arial" w:hAnsi="Arial" w:cs="Arial"/>
          <w:b/>
          <w:bCs/>
          <w:color w:val="C00000"/>
          <w:sz w:val="24"/>
          <w:szCs w:val="24"/>
        </w:rPr>
      </w:pPr>
    </w:p>
    <w:p w14:paraId="64B26696" w14:textId="0A3B6245" w:rsidR="00823186" w:rsidRDefault="00823186">
      <w:pPr>
        <w:rPr>
          <w:rFonts w:ascii="Arial" w:hAnsi="Arial" w:cs="Arial"/>
          <w:b/>
          <w:bCs/>
          <w:color w:val="C00000"/>
          <w:sz w:val="24"/>
          <w:szCs w:val="24"/>
        </w:rPr>
      </w:pPr>
    </w:p>
    <w:tbl>
      <w:tblPr>
        <w:tblStyle w:val="TableGrid"/>
        <w:tblW w:w="0" w:type="auto"/>
        <w:tblLook w:val="04A0" w:firstRow="1" w:lastRow="0" w:firstColumn="1" w:lastColumn="0" w:noHBand="0" w:noVBand="1"/>
      </w:tblPr>
      <w:tblGrid>
        <w:gridCol w:w="4815"/>
        <w:gridCol w:w="1273"/>
        <w:gridCol w:w="1297"/>
        <w:gridCol w:w="1631"/>
      </w:tblGrid>
      <w:tr w:rsidR="00A22BF9" w:rsidRPr="00D11320" w14:paraId="10C77D61" w14:textId="77777777" w:rsidTr="00D1516F">
        <w:trPr>
          <w:trHeight w:val="300"/>
          <w:tblHeader/>
        </w:trPr>
        <w:tc>
          <w:tcPr>
            <w:tcW w:w="4815" w:type="dxa"/>
            <w:shd w:val="clear" w:color="auto" w:fill="D0CECE" w:themeFill="background2" w:themeFillShade="E6"/>
          </w:tcPr>
          <w:p w14:paraId="7C9D32F4" w14:textId="77777777" w:rsidR="00A22BF9" w:rsidRPr="00D11320" w:rsidRDefault="00A22BF9" w:rsidP="00D1516F">
            <w:pPr>
              <w:contextualSpacing/>
              <w:jc w:val="both"/>
              <w:rPr>
                <w:rFonts w:ascii="Arial" w:hAnsi="Arial" w:cs="Arial"/>
                <w:b/>
                <w:bCs/>
                <w:color w:val="A8084D"/>
              </w:rPr>
            </w:pPr>
            <w:r w:rsidRPr="4D85AB7B">
              <w:rPr>
                <w:rFonts w:ascii="Arial" w:hAnsi="Arial" w:cs="Arial"/>
                <w:b/>
                <w:bCs/>
                <w:color w:val="A8084D"/>
              </w:rPr>
              <w:t>Candidate Requirements</w:t>
            </w:r>
          </w:p>
        </w:tc>
        <w:tc>
          <w:tcPr>
            <w:tcW w:w="1273" w:type="dxa"/>
            <w:shd w:val="clear" w:color="auto" w:fill="D0CECE" w:themeFill="background2" w:themeFillShade="E6"/>
          </w:tcPr>
          <w:p w14:paraId="35B8BF1D" w14:textId="77777777" w:rsidR="00A22BF9" w:rsidRPr="00D11320" w:rsidRDefault="00A22BF9" w:rsidP="00D1516F">
            <w:pPr>
              <w:contextualSpacing/>
              <w:jc w:val="both"/>
              <w:rPr>
                <w:rFonts w:ascii="Arial" w:hAnsi="Arial" w:cs="Arial"/>
                <w:b/>
                <w:color w:val="A8084D"/>
              </w:rPr>
            </w:pPr>
            <w:r w:rsidRPr="00D11320">
              <w:rPr>
                <w:rFonts w:ascii="Arial" w:hAnsi="Arial" w:cs="Arial"/>
                <w:b/>
                <w:color w:val="A8084D"/>
              </w:rPr>
              <w:t>Essential</w:t>
            </w:r>
          </w:p>
        </w:tc>
        <w:tc>
          <w:tcPr>
            <w:tcW w:w="1297" w:type="dxa"/>
            <w:shd w:val="clear" w:color="auto" w:fill="D0CECE" w:themeFill="background2" w:themeFillShade="E6"/>
          </w:tcPr>
          <w:p w14:paraId="0B889AC6" w14:textId="77777777" w:rsidR="00A22BF9" w:rsidRPr="00D11320" w:rsidRDefault="00A22BF9" w:rsidP="00D1516F">
            <w:pPr>
              <w:contextualSpacing/>
              <w:jc w:val="both"/>
              <w:rPr>
                <w:rFonts w:ascii="Arial" w:hAnsi="Arial" w:cs="Arial"/>
                <w:b/>
                <w:color w:val="A8084D"/>
              </w:rPr>
            </w:pPr>
            <w:r w:rsidRPr="00881DD0">
              <w:rPr>
                <w:rFonts w:ascii="Arial" w:hAnsi="Arial" w:cs="Arial"/>
                <w:b/>
                <w:color w:val="990033"/>
              </w:rPr>
              <w:t>Desirable</w:t>
            </w:r>
            <w:r w:rsidRPr="00D11320">
              <w:rPr>
                <w:rFonts w:ascii="Arial" w:hAnsi="Arial" w:cs="Arial"/>
                <w:b/>
                <w:color w:val="A8084D"/>
              </w:rPr>
              <w:t xml:space="preserve"> </w:t>
            </w:r>
          </w:p>
        </w:tc>
        <w:tc>
          <w:tcPr>
            <w:tcW w:w="1631" w:type="dxa"/>
            <w:shd w:val="clear" w:color="auto" w:fill="D0CECE" w:themeFill="background2" w:themeFillShade="E6"/>
          </w:tcPr>
          <w:p w14:paraId="12A64C3D" w14:textId="77777777" w:rsidR="00A22BF9" w:rsidRPr="00D11320" w:rsidRDefault="00A22BF9" w:rsidP="00D1516F">
            <w:pPr>
              <w:contextualSpacing/>
              <w:jc w:val="both"/>
              <w:rPr>
                <w:rFonts w:ascii="Arial" w:hAnsi="Arial" w:cs="Arial"/>
                <w:b/>
                <w:bCs/>
                <w:color w:val="A8084D"/>
              </w:rPr>
            </w:pPr>
            <w:r w:rsidRPr="4D85AB7B">
              <w:rPr>
                <w:rFonts w:ascii="Arial" w:hAnsi="Arial" w:cs="Arial"/>
                <w:b/>
                <w:bCs/>
                <w:color w:val="A8084D"/>
              </w:rPr>
              <w:t>Method of Assessment (Key Below)</w:t>
            </w:r>
          </w:p>
        </w:tc>
      </w:tr>
      <w:tr w:rsidR="00A22BF9" w:rsidRPr="00D11320" w14:paraId="5171C6C8" w14:textId="77777777" w:rsidTr="00D1516F">
        <w:trPr>
          <w:trHeight w:val="300"/>
        </w:trPr>
        <w:tc>
          <w:tcPr>
            <w:tcW w:w="4815" w:type="dxa"/>
          </w:tcPr>
          <w:p w14:paraId="5021B513" w14:textId="05929105" w:rsidR="00A22BF9" w:rsidRPr="00D11320" w:rsidRDefault="001B3B9B" w:rsidP="00D1516F">
            <w:pPr>
              <w:contextualSpacing/>
              <w:rPr>
                <w:rFonts w:ascii="Arial" w:hAnsi="Arial" w:cs="Arial"/>
                <w:bCs/>
              </w:rPr>
            </w:pPr>
            <w:r>
              <w:rPr>
                <w:rFonts w:ascii="Arial" w:hAnsi="Arial" w:cs="Arial"/>
                <w:bCs/>
              </w:rPr>
              <w:t>AAT qualified or equivalent</w:t>
            </w:r>
          </w:p>
        </w:tc>
        <w:tc>
          <w:tcPr>
            <w:tcW w:w="1273" w:type="dxa"/>
          </w:tcPr>
          <w:p w14:paraId="382C74A4" w14:textId="77777777" w:rsidR="00A22BF9" w:rsidRPr="00D11320" w:rsidRDefault="00A22BF9" w:rsidP="00D1516F">
            <w:pPr>
              <w:contextualSpacing/>
              <w:jc w:val="center"/>
              <w:rPr>
                <w:rFonts w:ascii="Arial" w:hAnsi="Arial" w:cs="Arial"/>
                <w:bCs/>
              </w:rPr>
            </w:pPr>
          </w:p>
          <w:p w14:paraId="1C839025" w14:textId="6A66C3AB" w:rsidR="00A22BF9" w:rsidRPr="00D11320" w:rsidRDefault="001B3B9B" w:rsidP="00D1516F">
            <w:pPr>
              <w:contextualSpacing/>
              <w:jc w:val="center"/>
              <w:rPr>
                <w:rFonts w:ascii="Arial" w:hAnsi="Arial" w:cs="Arial"/>
                <w:bCs/>
              </w:rPr>
            </w:pPr>
            <w:r w:rsidRPr="00D11320">
              <w:rPr>
                <w:rFonts w:ascii="Wingdings" w:eastAsia="Wingdings" w:hAnsi="Wingdings" w:cs="Wingdings"/>
                <w:bCs/>
              </w:rPr>
              <w:t>ü</w:t>
            </w:r>
          </w:p>
        </w:tc>
        <w:tc>
          <w:tcPr>
            <w:tcW w:w="1297" w:type="dxa"/>
          </w:tcPr>
          <w:p w14:paraId="400F7B0C" w14:textId="77777777" w:rsidR="002B0DE0" w:rsidRDefault="002B0DE0" w:rsidP="00D1516F">
            <w:pPr>
              <w:contextualSpacing/>
              <w:jc w:val="center"/>
              <w:rPr>
                <w:rFonts w:ascii="Wingdings" w:eastAsia="Wingdings" w:hAnsi="Wingdings" w:cs="Wingdings"/>
                <w:bCs/>
              </w:rPr>
            </w:pPr>
          </w:p>
          <w:p w14:paraId="7E3DA9BD" w14:textId="12949D64" w:rsidR="00A22BF9" w:rsidRPr="00D11320" w:rsidRDefault="00A22BF9" w:rsidP="00D1516F">
            <w:pPr>
              <w:contextualSpacing/>
              <w:jc w:val="center"/>
              <w:rPr>
                <w:rFonts w:ascii="Arial" w:hAnsi="Arial" w:cs="Arial"/>
                <w:bCs/>
              </w:rPr>
            </w:pPr>
          </w:p>
        </w:tc>
        <w:tc>
          <w:tcPr>
            <w:tcW w:w="1631" w:type="dxa"/>
          </w:tcPr>
          <w:p w14:paraId="1EA5B0BF" w14:textId="77777777" w:rsidR="00A22BF9" w:rsidRPr="00D11320" w:rsidRDefault="00A22BF9" w:rsidP="00D1516F">
            <w:pPr>
              <w:contextualSpacing/>
              <w:jc w:val="center"/>
              <w:rPr>
                <w:rFonts w:ascii="Arial" w:hAnsi="Arial" w:cs="Arial"/>
                <w:bCs/>
              </w:rPr>
            </w:pPr>
          </w:p>
          <w:p w14:paraId="557A573E" w14:textId="77777777" w:rsidR="00A22BF9" w:rsidRPr="00D11320" w:rsidRDefault="00A22BF9" w:rsidP="00D1516F">
            <w:pPr>
              <w:contextualSpacing/>
              <w:jc w:val="center"/>
              <w:rPr>
                <w:rFonts w:ascii="Arial" w:hAnsi="Arial" w:cs="Arial"/>
                <w:bCs/>
              </w:rPr>
            </w:pPr>
            <w:r w:rsidRPr="00D11320">
              <w:rPr>
                <w:rFonts w:ascii="Arial" w:hAnsi="Arial" w:cs="Arial"/>
                <w:bCs/>
              </w:rPr>
              <w:t>CQ</w:t>
            </w:r>
          </w:p>
        </w:tc>
      </w:tr>
      <w:tr w:rsidR="002B0DE0" w:rsidRPr="00D11320" w14:paraId="0D4970D9" w14:textId="77777777" w:rsidTr="00D1516F">
        <w:trPr>
          <w:trHeight w:val="300"/>
        </w:trPr>
        <w:tc>
          <w:tcPr>
            <w:tcW w:w="4815" w:type="dxa"/>
          </w:tcPr>
          <w:p w14:paraId="49521505" w14:textId="5711443C" w:rsidR="002B0DE0" w:rsidRPr="00D11320" w:rsidRDefault="002B0DE0" w:rsidP="002B0DE0">
            <w:pPr>
              <w:contextualSpacing/>
              <w:rPr>
                <w:rFonts w:ascii="Arial" w:hAnsi="Arial" w:cs="Arial"/>
                <w:bCs/>
              </w:rPr>
            </w:pPr>
            <w:r>
              <w:rPr>
                <w:rFonts w:ascii="Arial" w:hAnsi="Arial" w:cs="Arial"/>
                <w:bCs/>
              </w:rPr>
              <w:t xml:space="preserve">Part Qualified of a recognised UK Accounting body, </w:t>
            </w:r>
            <w:r w:rsidR="00B36932">
              <w:rPr>
                <w:rFonts w:ascii="Arial" w:hAnsi="Arial" w:cs="Arial"/>
                <w:bCs/>
              </w:rPr>
              <w:t>for</w:t>
            </w:r>
            <w:r>
              <w:rPr>
                <w:rFonts w:ascii="Arial" w:hAnsi="Arial" w:cs="Arial"/>
                <w:bCs/>
              </w:rPr>
              <w:t xml:space="preserve"> example ACCA, CIMA or equivalent</w:t>
            </w:r>
            <w:r w:rsidR="001B3B9B">
              <w:rPr>
                <w:rFonts w:ascii="Arial" w:hAnsi="Arial" w:cs="Arial"/>
                <w:bCs/>
              </w:rPr>
              <w:t xml:space="preserve"> or working towards.</w:t>
            </w:r>
          </w:p>
        </w:tc>
        <w:tc>
          <w:tcPr>
            <w:tcW w:w="1273" w:type="dxa"/>
          </w:tcPr>
          <w:p w14:paraId="3634BE7F" w14:textId="77777777" w:rsidR="002B0DE0" w:rsidRDefault="002B0DE0" w:rsidP="002B0DE0">
            <w:pPr>
              <w:contextualSpacing/>
              <w:jc w:val="center"/>
              <w:rPr>
                <w:rFonts w:ascii="Wingdings" w:eastAsia="Wingdings" w:hAnsi="Wingdings" w:cs="Wingdings"/>
                <w:bCs/>
              </w:rPr>
            </w:pPr>
          </w:p>
          <w:p w14:paraId="6CFD40A6" w14:textId="02933507" w:rsidR="002B0DE0" w:rsidRPr="00D11320" w:rsidRDefault="002B0DE0" w:rsidP="002B0DE0">
            <w:pPr>
              <w:contextualSpacing/>
              <w:jc w:val="center"/>
              <w:rPr>
                <w:rFonts w:ascii="Arial" w:hAnsi="Arial" w:cs="Arial"/>
                <w:bCs/>
              </w:rPr>
            </w:pPr>
          </w:p>
        </w:tc>
        <w:tc>
          <w:tcPr>
            <w:tcW w:w="1297" w:type="dxa"/>
          </w:tcPr>
          <w:p w14:paraId="4AA6065B" w14:textId="64660D61" w:rsidR="002B0DE0" w:rsidRDefault="001B3B9B" w:rsidP="002B0DE0">
            <w:pPr>
              <w:contextualSpacing/>
              <w:jc w:val="center"/>
              <w:rPr>
                <w:rFonts w:ascii="Wingdings" w:eastAsia="Wingdings" w:hAnsi="Wingdings" w:cs="Wingdings"/>
                <w:bCs/>
              </w:rPr>
            </w:pPr>
            <w:r w:rsidRPr="00D11320">
              <w:rPr>
                <w:rFonts w:ascii="Wingdings" w:eastAsia="Wingdings" w:hAnsi="Wingdings" w:cs="Wingdings"/>
                <w:bCs/>
              </w:rPr>
              <w:t>ü</w:t>
            </w:r>
          </w:p>
        </w:tc>
        <w:tc>
          <w:tcPr>
            <w:tcW w:w="1631" w:type="dxa"/>
          </w:tcPr>
          <w:p w14:paraId="1F0672FD" w14:textId="77777777" w:rsidR="002B0DE0" w:rsidRPr="00D11320" w:rsidRDefault="002B0DE0" w:rsidP="002B0DE0">
            <w:pPr>
              <w:contextualSpacing/>
              <w:jc w:val="center"/>
              <w:rPr>
                <w:rFonts w:ascii="Arial" w:hAnsi="Arial" w:cs="Arial"/>
                <w:bCs/>
              </w:rPr>
            </w:pPr>
          </w:p>
          <w:p w14:paraId="5E4EBA2E" w14:textId="557625CE" w:rsidR="002B0DE0" w:rsidRPr="00D11320" w:rsidRDefault="002B0DE0" w:rsidP="002B0DE0">
            <w:pPr>
              <w:contextualSpacing/>
              <w:jc w:val="center"/>
              <w:rPr>
                <w:rFonts w:ascii="Arial" w:hAnsi="Arial" w:cs="Arial"/>
                <w:bCs/>
              </w:rPr>
            </w:pPr>
            <w:r w:rsidRPr="00D11320">
              <w:rPr>
                <w:rFonts w:ascii="Arial" w:hAnsi="Arial" w:cs="Arial"/>
                <w:bCs/>
              </w:rPr>
              <w:t>CQ</w:t>
            </w:r>
          </w:p>
        </w:tc>
      </w:tr>
      <w:tr w:rsidR="002B0DE0" w:rsidRPr="00D11320" w14:paraId="3497500C" w14:textId="77777777" w:rsidTr="00D1516F">
        <w:trPr>
          <w:trHeight w:val="300"/>
        </w:trPr>
        <w:tc>
          <w:tcPr>
            <w:tcW w:w="4815" w:type="dxa"/>
          </w:tcPr>
          <w:p w14:paraId="1A080183" w14:textId="59D1B795" w:rsidR="002B0DE0" w:rsidRPr="00D11320" w:rsidRDefault="001B3B9B" w:rsidP="002B0DE0">
            <w:pPr>
              <w:contextualSpacing/>
              <w:rPr>
                <w:rFonts w:ascii="Arial" w:hAnsi="Arial" w:cs="Arial"/>
                <w:bCs/>
              </w:rPr>
            </w:pPr>
            <w:r>
              <w:rPr>
                <w:rFonts w:ascii="Arial" w:hAnsi="Arial" w:cs="Arial"/>
                <w:color w:val="2A2D2D"/>
                <w:w w:val="105"/>
              </w:rPr>
              <w:t>Finance Experience in particular budget support.</w:t>
            </w:r>
          </w:p>
        </w:tc>
        <w:tc>
          <w:tcPr>
            <w:tcW w:w="1273" w:type="dxa"/>
          </w:tcPr>
          <w:p w14:paraId="402EC2B3" w14:textId="77777777" w:rsidR="002B0DE0" w:rsidRPr="00D11320" w:rsidRDefault="002B0DE0" w:rsidP="002B0DE0">
            <w:pPr>
              <w:contextualSpacing/>
              <w:jc w:val="center"/>
              <w:rPr>
                <w:rFonts w:ascii="Arial" w:hAnsi="Arial" w:cs="Arial"/>
                <w:bCs/>
              </w:rPr>
            </w:pPr>
          </w:p>
          <w:p w14:paraId="5CF02B23" w14:textId="77777777" w:rsidR="002B0DE0" w:rsidRPr="00D11320" w:rsidRDefault="002B0DE0" w:rsidP="002B0DE0">
            <w:pPr>
              <w:contextualSpacing/>
              <w:jc w:val="center"/>
              <w:rPr>
                <w:rFonts w:ascii="Arial" w:hAnsi="Arial" w:cs="Arial"/>
                <w:bCs/>
              </w:rPr>
            </w:pPr>
            <w:r w:rsidRPr="00D11320">
              <w:rPr>
                <w:rFonts w:ascii="Wingdings" w:eastAsia="Wingdings" w:hAnsi="Wingdings" w:cs="Wingdings"/>
                <w:bCs/>
              </w:rPr>
              <w:t>ü</w:t>
            </w:r>
          </w:p>
        </w:tc>
        <w:tc>
          <w:tcPr>
            <w:tcW w:w="1297" w:type="dxa"/>
          </w:tcPr>
          <w:p w14:paraId="04B3BCF4" w14:textId="77777777" w:rsidR="002B0DE0" w:rsidRPr="00D11320" w:rsidRDefault="002B0DE0" w:rsidP="002B0DE0">
            <w:pPr>
              <w:contextualSpacing/>
              <w:jc w:val="center"/>
              <w:rPr>
                <w:rFonts w:ascii="Arial" w:hAnsi="Arial" w:cs="Arial"/>
                <w:bCs/>
                <w:highlight w:val="yellow"/>
              </w:rPr>
            </w:pPr>
          </w:p>
        </w:tc>
        <w:tc>
          <w:tcPr>
            <w:tcW w:w="1631" w:type="dxa"/>
          </w:tcPr>
          <w:p w14:paraId="7E648AF1" w14:textId="77777777" w:rsidR="002B0DE0" w:rsidRPr="00D11320" w:rsidRDefault="002B0DE0" w:rsidP="002B0DE0">
            <w:pPr>
              <w:contextualSpacing/>
              <w:jc w:val="center"/>
              <w:rPr>
                <w:rFonts w:ascii="Arial" w:hAnsi="Arial" w:cs="Arial"/>
                <w:bCs/>
              </w:rPr>
            </w:pPr>
          </w:p>
          <w:p w14:paraId="7233497E" w14:textId="77777777" w:rsidR="002B0DE0" w:rsidRPr="00D11320" w:rsidRDefault="002B0DE0" w:rsidP="002B0DE0">
            <w:pPr>
              <w:contextualSpacing/>
              <w:jc w:val="center"/>
              <w:rPr>
                <w:rFonts w:ascii="Arial" w:hAnsi="Arial" w:cs="Arial"/>
                <w:bCs/>
                <w:highlight w:val="yellow"/>
              </w:rPr>
            </w:pPr>
            <w:r w:rsidRPr="00D11320">
              <w:rPr>
                <w:rFonts w:ascii="Arial" w:hAnsi="Arial" w:cs="Arial"/>
                <w:bCs/>
              </w:rPr>
              <w:t>CC/I</w:t>
            </w:r>
          </w:p>
        </w:tc>
      </w:tr>
      <w:tr w:rsidR="002B0DE0" w:rsidRPr="00D11320" w14:paraId="2C7AD39A" w14:textId="77777777" w:rsidTr="00D1516F">
        <w:trPr>
          <w:trHeight w:val="300"/>
        </w:trPr>
        <w:tc>
          <w:tcPr>
            <w:tcW w:w="4815" w:type="dxa"/>
          </w:tcPr>
          <w:p w14:paraId="2BE6BE24" w14:textId="6F8572CB" w:rsidR="002B0DE0" w:rsidRPr="00D11320" w:rsidRDefault="002B0DE0" w:rsidP="002B0DE0">
            <w:pPr>
              <w:contextualSpacing/>
              <w:rPr>
                <w:rFonts w:ascii="Arial" w:hAnsi="Arial" w:cs="Arial"/>
                <w:bCs/>
              </w:rPr>
            </w:pPr>
            <w:r w:rsidRPr="00184D1F">
              <w:rPr>
                <w:rFonts w:ascii="Arial" w:hAnsi="Arial" w:cs="Arial"/>
              </w:rPr>
              <w:t>Experience in</w:t>
            </w:r>
            <w:r>
              <w:rPr>
                <w:rFonts w:ascii="Arial" w:hAnsi="Arial" w:cs="Arial"/>
              </w:rPr>
              <w:t xml:space="preserve"> </w:t>
            </w:r>
            <w:r w:rsidR="001B3B9B">
              <w:rPr>
                <w:rFonts w:ascii="Arial" w:hAnsi="Arial" w:cs="Arial"/>
              </w:rPr>
              <w:t>working in Finance Section.</w:t>
            </w:r>
          </w:p>
        </w:tc>
        <w:tc>
          <w:tcPr>
            <w:tcW w:w="1273" w:type="dxa"/>
          </w:tcPr>
          <w:p w14:paraId="4E19467D" w14:textId="77777777" w:rsidR="002B0DE0" w:rsidRPr="00D11320" w:rsidRDefault="002B0DE0" w:rsidP="002B0DE0">
            <w:pPr>
              <w:contextualSpacing/>
              <w:jc w:val="center"/>
              <w:rPr>
                <w:rFonts w:ascii="Arial" w:hAnsi="Arial" w:cs="Arial"/>
                <w:bCs/>
              </w:rPr>
            </w:pPr>
          </w:p>
          <w:p w14:paraId="3AB21A54" w14:textId="77777777" w:rsidR="002B0DE0" w:rsidRPr="00D11320" w:rsidRDefault="002B0DE0" w:rsidP="002B0DE0">
            <w:pPr>
              <w:contextualSpacing/>
              <w:jc w:val="center"/>
              <w:rPr>
                <w:rFonts w:ascii="Arial" w:hAnsi="Arial" w:cs="Arial"/>
                <w:bCs/>
                <w:highlight w:val="yellow"/>
              </w:rPr>
            </w:pPr>
            <w:r w:rsidRPr="00D11320">
              <w:rPr>
                <w:rFonts w:ascii="Wingdings" w:eastAsia="Wingdings" w:hAnsi="Wingdings" w:cs="Wingdings"/>
                <w:bCs/>
              </w:rPr>
              <w:t>ü</w:t>
            </w:r>
          </w:p>
        </w:tc>
        <w:tc>
          <w:tcPr>
            <w:tcW w:w="1297" w:type="dxa"/>
          </w:tcPr>
          <w:p w14:paraId="5DA8D817" w14:textId="77777777" w:rsidR="002B0DE0" w:rsidRPr="00D11320" w:rsidRDefault="002B0DE0" w:rsidP="002B0DE0">
            <w:pPr>
              <w:contextualSpacing/>
              <w:jc w:val="center"/>
              <w:rPr>
                <w:rFonts w:ascii="Arial" w:hAnsi="Arial" w:cs="Arial"/>
                <w:bCs/>
                <w:highlight w:val="yellow"/>
              </w:rPr>
            </w:pPr>
          </w:p>
        </w:tc>
        <w:tc>
          <w:tcPr>
            <w:tcW w:w="1631" w:type="dxa"/>
          </w:tcPr>
          <w:p w14:paraId="3176C073" w14:textId="77777777" w:rsidR="002B0DE0" w:rsidRPr="00D11320" w:rsidRDefault="002B0DE0" w:rsidP="002B0DE0">
            <w:pPr>
              <w:contextualSpacing/>
              <w:jc w:val="center"/>
              <w:rPr>
                <w:rFonts w:ascii="Arial" w:hAnsi="Arial" w:cs="Arial"/>
                <w:bCs/>
              </w:rPr>
            </w:pPr>
          </w:p>
          <w:p w14:paraId="33C1CA4E" w14:textId="77777777" w:rsidR="002B0DE0" w:rsidRPr="00D11320" w:rsidRDefault="002B0DE0" w:rsidP="002B0DE0">
            <w:pPr>
              <w:contextualSpacing/>
              <w:jc w:val="center"/>
              <w:rPr>
                <w:rFonts w:ascii="Arial" w:hAnsi="Arial" w:cs="Arial"/>
                <w:bCs/>
                <w:highlight w:val="yellow"/>
              </w:rPr>
            </w:pPr>
            <w:r w:rsidRPr="00D11320">
              <w:rPr>
                <w:rFonts w:ascii="Arial" w:hAnsi="Arial" w:cs="Arial"/>
                <w:bCs/>
              </w:rPr>
              <w:t>CC/I</w:t>
            </w:r>
          </w:p>
        </w:tc>
      </w:tr>
      <w:tr w:rsidR="002B0DE0" w:rsidRPr="00D11320" w14:paraId="14F2B8D7" w14:textId="77777777" w:rsidTr="00D1516F">
        <w:trPr>
          <w:trHeight w:val="300"/>
        </w:trPr>
        <w:tc>
          <w:tcPr>
            <w:tcW w:w="4815" w:type="dxa"/>
          </w:tcPr>
          <w:p w14:paraId="7F14766F" w14:textId="2A41F319" w:rsidR="002B0DE0" w:rsidRPr="00D11320" w:rsidRDefault="002B0DE0" w:rsidP="002B0DE0">
            <w:pPr>
              <w:contextualSpacing/>
              <w:rPr>
                <w:rFonts w:ascii="Arial" w:hAnsi="Arial" w:cs="Arial"/>
              </w:rPr>
            </w:pPr>
            <w:r>
              <w:rPr>
                <w:rFonts w:ascii="Arial" w:hAnsi="Arial" w:cs="Arial"/>
              </w:rPr>
              <w:t>Experience of Reconciliations</w:t>
            </w:r>
            <w:r w:rsidR="001B3B9B">
              <w:rPr>
                <w:rFonts w:ascii="Arial" w:hAnsi="Arial" w:cs="Arial"/>
              </w:rPr>
              <w:t>, processing accruals and prepayments.</w:t>
            </w:r>
          </w:p>
        </w:tc>
        <w:tc>
          <w:tcPr>
            <w:tcW w:w="1273" w:type="dxa"/>
          </w:tcPr>
          <w:p w14:paraId="4F108911" w14:textId="77777777" w:rsidR="002B0DE0" w:rsidRPr="00D11320" w:rsidRDefault="002B0DE0" w:rsidP="002B0DE0">
            <w:pPr>
              <w:contextualSpacing/>
              <w:jc w:val="center"/>
              <w:rPr>
                <w:rFonts w:ascii="Arial" w:hAnsi="Arial" w:cs="Arial"/>
                <w:bCs/>
              </w:rPr>
            </w:pPr>
          </w:p>
          <w:p w14:paraId="48673E0C" w14:textId="77777777" w:rsidR="002B0DE0" w:rsidRPr="00D11320" w:rsidRDefault="002B0DE0" w:rsidP="002B0DE0">
            <w:pPr>
              <w:contextualSpacing/>
              <w:jc w:val="center"/>
              <w:rPr>
                <w:rFonts w:ascii="Arial" w:hAnsi="Arial" w:cs="Arial"/>
                <w:bCs/>
              </w:rPr>
            </w:pPr>
            <w:r w:rsidRPr="00D11320">
              <w:rPr>
                <w:rFonts w:ascii="Wingdings" w:eastAsia="Wingdings" w:hAnsi="Wingdings" w:cs="Wingdings"/>
                <w:bCs/>
              </w:rPr>
              <w:t>ü</w:t>
            </w:r>
          </w:p>
        </w:tc>
        <w:tc>
          <w:tcPr>
            <w:tcW w:w="1297" w:type="dxa"/>
          </w:tcPr>
          <w:p w14:paraId="3BC42947" w14:textId="77777777" w:rsidR="002B0DE0" w:rsidRPr="00D11320" w:rsidRDefault="002B0DE0" w:rsidP="002B0DE0">
            <w:pPr>
              <w:contextualSpacing/>
              <w:jc w:val="center"/>
              <w:rPr>
                <w:rFonts w:ascii="Arial" w:hAnsi="Arial" w:cs="Arial"/>
                <w:bCs/>
                <w:highlight w:val="yellow"/>
              </w:rPr>
            </w:pPr>
          </w:p>
        </w:tc>
        <w:tc>
          <w:tcPr>
            <w:tcW w:w="1631" w:type="dxa"/>
          </w:tcPr>
          <w:p w14:paraId="6F70573E" w14:textId="77777777" w:rsidR="002B0DE0" w:rsidRPr="00D11320" w:rsidRDefault="002B0DE0" w:rsidP="002B0DE0">
            <w:pPr>
              <w:contextualSpacing/>
              <w:jc w:val="center"/>
              <w:rPr>
                <w:rFonts w:ascii="Arial" w:hAnsi="Arial" w:cs="Arial"/>
                <w:bCs/>
              </w:rPr>
            </w:pPr>
          </w:p>
          <w:p w14:paraId="43CFC62E" w14:textId="77777777" w:rsidR="002B0DE0" w:rsidRPr="00D11320" w:rsidRDefault="002B0DE0" w:rsidP="002B0DE0">
            <w:pPr>
              <w:contextualSpacing/>
              <w:jc w:val="center"/>
              <w:rPr>
                <w:rFonts w:ascii="Arial" w:hAnsi="Arial" w:cs="Arial"/>
                <w:bCs/>
              </w:rPr>
            </w:pPr>
            <w:r w:rsidRPr="00D11320">
              <w:rPr>
                <w:rFonts w:ascii="Arial" w:hAnsi="Arial" w:cs="Arial"/>
                <w:bCs/>
              </w:rPr>
              <w:t>CC/I</w:t>
            </w:r>
          </w:p>
        </w:tc>
      </w:tr>
      <w:tr w:rsidR="002B0DE0" w:rsidRPr="00D11320" w14:paraId="3E448B59" w14:textId="77777777" w:rsidTr="00D1516F">
        <w:trPr>
          <w:trHeight w:val="300"/>
        </w:trPr>
        <w:tc>
          <w:tcPr>
            <w:tcW w:w="4815" w:type="dxa"/>
          </w:tcPr>
          <w:p w14:paraId="3EA9D9AF" w14:textId="03F9E128" w:rsidR="002B0DE0" w:rsidRPr="00D11320" w:rsidRDefault="002B0DE0" w:rsidP="002B0DE0">
            <w:pPr>
              <w:contextualSpacing/>
              <w:rPr>
                <w:rFonts w:ascii="Arial" w:hAnsi="Arial" w:cs="Arial"/>
              </w:rPr>
            </w:pPr>
            <w:r w:rsidRPr="007104F8">
              <w:rPr>
                <w:rFonts w:ascii="Arial" w:hAnsi="Arial" w:cs="Arial"/>
              </w:rPr>
              <w:t>Ability to collate and analyse information from a wide variety of sources</w:t>
            </w:r>
          </w:p>
        </w:tc>
        <w:tc>
          <w:tcPr>
            <w:tcW w:w="1273" w:type="dxa"/>
          </w:tcPr>
          <w:p w14:paraId="1510F6A7" w14:textId="77777777" w:rsidR="002B0DE0" w:rsidRPr="00D11320" w:rsidRDefault="002B0DE0" w:rsidP="002B0DE0">
            <w:pPr>
              <w:contextualSpacing/>
              <w:jc w:val="center"/>
              <w:rPr>
                <w:rFonts w:ascii="Arial" w:hAnsi="Arial" w:cs="Arial"/>
                <w:bCs/>
              </w:rPr>
            </w:pPr>
          </w:p>
          <w:p w14:paraId="46D3239C" w14:textId="77777777" w:rsidR="002B0DE0" w:rsidRPr="00D11320" w:rsidRDefault="002B0DE0" w:rsidP="002B0DE0">
            <w:pPr>
              <w:contextualSpacing/>
              <w:jc w:val="center"/>
              <w:rPr>
                <w:rFonts w:ascii="Arial" w:hAnsi="Arial" w:cs="Arial"/>
                <w:bCs/>
              </w:rPr>
            </w:pPr>
            <w:r w:rsidRPr="00D11320">
              <w:rPr>
                <w:rFonts w:ascii="Wingdings" w:eastAsia="Wingdings" w:hAnsi="Wingdings" w:cs="Wingdings"/>
                <w:bCs/>
              </w:rPr>
              <w:t>ü</w:t>
            </w:r>
          </w:p>
        </w:tc>
        <w:tc>
          <w:tcPr>
            <w:tcW w:w="1297" w:type="dxa"/>
          </w:tcPr>
          <w:p w14:paraId="2D09E154" w14:textId="77777777" w:rsidR="002B0DE0" w:rsidRPr="00D11320" w:rsidRDefault="002B0DE0" w:rsidP="002B0DE0">
            <w:pPr>
              <w:contextualSpacing/>
              <w:jc w:val="center"/>
              <w:rPr>
                <w:rFonts w:ascii="Arial" w:hAnsi="Arial" w:cs="Arial"/>
                <w:bCs/>
                <w:highlight w:val="yellow"/>
              </w:rPr>
            </w:pPr>
          </w:p>
        </w:tc>
        <w:tc>
          <w:tcPr>
            <w:tcW w:w="1631" w:type="dxa"/>
          </w:tcPr>
          <w:p w14:paraId="6F161C32" w14:textId="77777777" w:rsidR="002B0DE0" w:rsidRPr="00D11320" w:rsidRDefault="002B0DE0" w:rsidP="002B0DE0">
            <w:pPr>
              <w:contextualSpacing/>
              <w:jc w:val="center"/>
              <w:rPr>
                <w:rFonts w:ascii="Arial" w:hAnsi="Arial" w:cs="Arial"/>
                <w:bCs/>
              </w:rPr>
            </w:pPr>
            <w:r w:rsidRPr="00E0232A">
              <w:rPr>
                <w:rFonts w:ascii="Arial" w:hAnsi="Arial" w:cs="Arial"/>
                <w:bCs/>
              </w:rPr>
              <w:t>CC/I</w:t>
            </w:r>
          </w:p>
        </w:tc>
      </w:tr>
      <w:tr w:rsidR="002B0DE0" w:rsidRPr="00D11320" w14:paraId="32A18E63" w14:textId="77777777" w:rsidTr="00D1516F">
        <w:trPr>
          <w:trHeight w:val="300"/>
        </w:trPr>
        <w:tc>
          <w:tcPr>
            <w:tcW w:w="4815" w:type="dxa"/>
          </w:tcPr>
          <w:p w14:paraId="66A29F6F" w14:textId="77777777" w:rsidR="002B0DE0" w:rsidRPr="00D11320" w:rsidRDefault="002B0DE0" w:rsidP="002B0DE0">
            <w:pPr>
              <w:contextualSpacing/>
              <w:rPr>
                <w:rFonts w:ascii="Arial" w:hAnsi="Arial" w:cs="Arial"/>
              </w:rPr>
            </w:pPr>
            <w:r w:rsidRPr="00D11320">
              <w:rPr>
                <w:rFonts w:ascii="Arial" w:hAnsi="Arial" w:cs="Arial"/>
              </w:rPr>
              <w:t xml:space="preserve">Knowledge and practical experience of using IT as analytical and management tools. </w:t>
            </w:r>
          </w:p>
        </w:tc>
        <w:tc>
          <w:tcPr>
            <w:tcW w:w="1273" w:type="dxa"/>
          </w:tcPr>
          <w:p w14:paraId="07CB57D2" w14:textId="77777777" w:rsidR="002B0DE0" w:rsidRPr="00D11320" w:rsidRDefault="002B0DE0" w:rsidP="002B0DE0">
            <w:pPr>
              <w:contextualSpacing/>
              <w:jc w:val="center"/>
              <w:rPr>
                <w:rFonts w:ascii="Arial" w:hAnsi="Arial" w:cs="Arial"/>
                <w:bCs/>
              </w:rPr>
            </w:pPr>
          </w:p>
          <w:p w14:paraId="1EF4B562" w14:textId="77777777" w:rsidR="002B0DE0" w:rsidRPr="00D11320" w:rsidRDefault="002B0DE0" w:rsidP="002B0DE0">
            <w:pPr>
              <w:contextualSpacing/>
              <w:jc w:val="center"/>
              <w:rPr>
                <w:rFonts w:ascii="Arial" w:hAnsi="Arial" w:cs="Arial"/>
                <w:bCs/>
                <w:highlight w:val="yellow"/>
              </w:rPr>
            </w:pPr>
            <w:r w:rsidRPr="00D11320">
              <w:rPr>
                <w:rFonts w:ascii="Wingdings" w:eastAsia="Wingdings" w:hAnsi="Wingdings" w:cs="Wingdings"/>
                <w:bCs/>
              </w:rPr>
              <w:t>ü</w:t>
            </w:r>
          </w:p>
        </w:tc>
        <w:tc>
          <w:tcPr>
            <w:tcW w:w="1297" w:type="dxa"/>
          </w:tcPr>
          <w:p w14:paraId="2CDF3CE1" w14:textId="77777777" w:rsidR="002B0DE0" w:rsidRPr="00D11320" w:rsidRDefault="002B0DE0" w:rsidP="002B0DE0">
            <w:pPr>
              <w:contextualSpacing/>
              <w:jc w:val="center"/>
              <w:rPr>
                <w:rFonts w:ascii="Arial" w:hAnsi="Arial" w:cs="Arial"/>
                <w:bCs/>
                <w:highlight w:val="yellow"/>
              </w:rPr>
            </w:pPr>
          </w:p>
        </w:tc>
        <w:tc>
          <w:tcPr>
            <w:tcW w:w="1631" w:type="dxa"/>
          </w:tcPr>
          <w:p w14:paraId="0B2F5A22" w14:textId="77777777" w:rsidR="002B0DE0" w:rsidRPr="00D11320" w:rsidRDefault="002B0DE0" w:rsidP="002B0DE0">
            <w:pPr>
              <w:contextualSpacing/>
              <w:jc w:val="center"/>
              <w:rPr>
                <w:rFonts w:ascii="Arial" w:hAnsi="Arial" w:cs="Arial"/>
                <w:bCs/>
                <w:highlight w:val="yellow"/>
              </w:rPr>
            </w:pPr>
            <w:r w:rsidRPr="00E0232A">
              <w:rPr>
                <w:rFonts w:ascii="Arial" w:hAnsi="Arial" w:cs="Arial"/>
                <w:bCs/>
              </w:rPr>
              <w:t>CC/I</w:t>
            </w:r>
          </w:p>
        </w:tc>
      </w:tr>
      <w:tr w:rsidR="002B0DE0" w:rsidRPr="00D11320" w14:paraId="0808FDC6" w14:textId="77777777" w:rsidTr="00D1516F">
        <w:trPr>
          <w:trHeight w:val="300"/>
        </w:trPr>
        <w:tc>
          <w:tcPr>
            <w:tcW w:w="4815" w:type="dxa"/>
          </w:tcPr>
          <w:p w14:paraId="3F919683" w14:textId="77777777" w:rsidR="002B0DE0" w:rsidRPr="00D11320" w:rsidRDefault="002B0DE0" w:rsidP="002B0DE0">
            <w:pPr>
              <w:contextualSpacing/>
              <w:rPr>
                <w:rFonts w:ascii="Arial" w:hAnsi="Arial" w:cs="Arial"/>
              </w:rPr>
            </w:pPr>
            <w:r w:rsidRPr="4D85AB7B">
              <w:rPr>
                <w:rFonts w:ascii="Arial" w:hAnsi="Arial" w:cs="Arial"/>
              </w:rPr>
              <w:t>Capable of delivering results to tight deadlines and under pressure and maintaining accuracy.</w:t>
            </w:r>
          </w:p>
        </w:tc>
        <w:tc>
          <w:tcPr>
            <w:tcW w:w="1273" w:type="dxa"/>
          </w:tcPr>
          <w:p w14:paraId="4F47F4A2" w14:textId="77777777" w:rsidR="002B0DE0" w:rsidRPr="00D11320" w:rsidRDefault="002B0DE0" w:rsidP="002B0DE0">
            <w:pPr>
              <w:contextualSpacing/>
              <w:jc w:val="center"/>
              <w:rPr>
                <w:rFonts w:ascii="Arial" w:hAnsi="Arial" w:cs="Arial"/>
                <w:bCs/>
                <w:highlight w:val="yellow"/>
              </w:rPr>
            </w:pPr>
            <w:r w:rsidRPr="00D11320">
              <w:rPr>
                <w:rFonts w:ascii="Wingdings" w:eastAsia="Wingdings" w:hAnsi="Wingdings" w:cs="Wingdings"/>
                <w:bCs/>
              </w:rPr>
              <w:t>ü</w:t>
            </w:r>
          </w:p>
        </w:tc>
        <w:tc>
          <w:tcPr>
            <w:tcW w:w="1297" w:type="dxa"/>
          </w:tcPr>
          <w:p w14:paraId="1680CAEA" w14:textId="77777777" w:rsidR="002B0DE0" w:rsidRPr="00D11320" w:rsidRDefault="002B0DE0" w:rsidP="002B0DE0">
            <w:pPr>
              <w:contextualSpacing/>
              <w:jc w:val="center"/>
              <w:rPr>
                <w:rFonts w:ascii="Arial" w:hAnsi="Arial" w:cs="Arial"/>
                <w:bCs/>
                <w:highlight w:val="yellow"/>
              </w:rPr>
            </w:pPr>
          </w:p>
        </w:tc>
        <w:tc>
          <w:tcPr>
            <w:tcW w:w="1631" w:type="dxa"/>
          </w:tcPr>
          <w:p w14:paraId="65F5213D" w14:textId="77777777" w:rsidR="002B0DE0" w:rsidRPr="00D11320" w:rsidRDefault="002B0DE0" w:rsidP="002B0DE0">
            <w:pPr>
              <w:contextualSpacing/>
              <w:jc w:val="center"/>
              <w:rPr>
                <w:rFonts w:ascii="Arial" w:hAnsi="Arial" w:cs="Arial"/>
                <w:bCs/>
                <w:highlight w:val="yellow"/>
              </w:rPr>
            </w:pPr>
            <w:r w:rsidRPr="00D11320">
              <w:rPr>
                <w:rFonts w:ascii="Arial" w:hAnsi="Arial" w:cs="Arial"/>
                <w:bCs/>
              </w:rPr>
              <w:t>CC/I</w:t>
            </w:r>
          </w:p>
        </w:tc>
      </w:tr>
      <w:tr w:rsidR="002B0DE0" w:rsidRPr="00D11320" w14:paraId="5BBA0473" w14:textId="77777777" w:rsidTr="00D1516F">
        <w:trPr>
          <w:trHeight w:val="300"/>
        </w:trPr>
        <w:tc>
          <w:tcPr>
            <w:tcW w:w="4815" w:type="dxa"/>
          </w:tcPr>
          <w:p w14:paraId="5FE9BAD9" w14:textId="77777777" w:rsidR="002B0DE0" w:rsidRPr="00D11320" w:rsidRDefault="002B0DE0" w:rsidP="002B0DE0">
            <w:pPr>
              <w:contextualSpacing/>
              <w:rPr>
                <w:rFonts w:ascii="Arial" w:hAnsi="Arial" w:cs="Arial"/>
                <w:color w:val="2A2D2D"/>
                <w:highlight w:val="yellow"/>
              </w:rPr>
            </w:pPr>
            <w:r w:rsidRPr="00D11320">
              <w:rPr>
                <w:rFonts w:ascii="Arial" w:hAnsi="Arial" w:cs="Arial"/>
              </w:rPr>
              <w:t>Able to communicate effectively and build effective working relationships with customers, both internal and external, and other stakeholders, and having confidence to challenge others and senior management and able to interact effectively with different people.</w:t>
            </w:r>
          </w:p>
        </w:tc>
        <w:tc>
          <w:tcPr>
            <w:tcW w:w="1273" w:type="dxa"/>
          </w:tcPr>
          <w:p w14:paraId="24B212D7" w14:textId="77777777" w:rsidR="002B0DE0" w:rsidRPr="00D11320" w:rsidRDefault="002B0DE0" w:rsidP="002B0DE0">
            <w:pPr>
              <w:contextualSpacing/>
              <w:jc w:val="center"/>
              <w:rPr>
                <w:rFonts w:ascii="Arial" w:hAnsi="Arial" w:cs="Arial"/>
                <w:bCs/>
              </w:rPr>
            </w:pPr>
          </w:p>
          <w:p w14:paraId="5E898D2F" w14:textId="77777777" w:rsidR="002B0DE0" w:rsidRPr="00D11320" w:rsidRDefault="002B0DE0" w:rsidP="002B0DE0">
            <w:pPr>
              <w:contextualSpacing/>
              <w:jc w:val="center"/>
              <w:rPr>
                <w:rFonts w:ascii="Arial" w:hAnsi="Arial" w:cs="Arial"/>
                <w:bCs/>
              </w:rPr>
            </w:pPr>
          </w:p>
          <w:p w14:paraId="5DFA1E10" w14:textId="77777777" w:rsidR="002B0DE0" w:rsidRPr="00D11320" w:rsidRDefault="002B0DE0" w:rsidP="002B0DE0">
            <w:pPr>
              <w:contextualSpacing/>
              <w:jc w:val="center"/>
              <w:rPr>
                <w:rFonts w:ascii="Arial" w:hAnsi="Arial" w:cs="Arial"/>
                <w:bCs/>
                <w:highlight w:val="yellow"/>
              </w:rPr>
            </w:pPr>
            <w:r w:rsidRPr="00D11320">
              <w:rPr>
                <w:rFonts w:ascii="Wingdings" w:eastAsia="Wingdings" w:hAnsi="Wingdings" w:cs="Wingdings"/>
                <w:bCs/>
              </w:rPr>
              <w:t>ü</w:t>
            </w:r>
          </w:p>
        </w:tc>
        <w:tc>
          <w:tcPr>
            <w:tcW w:w="1297" w:type="dxa"/>
          </w:tcPr>
          <w:p w14:paraId="5F602B6B" w14:textId="77777777" w:rsidR="002B0DE0" w:rsidRPr="00D11320" w:rsidRDefault="002B0DE0" w:rsidP="002B0DE0">
            <w:pPr>
              <w:contextualSpacing/>
              <w:jc w:val="center"/>
              <w:rPr>
                <w:rFonts w:ascii="Arial" w:hAnsi="Arial" w:cs="Arial"/>
                <w:bCs/>
                <w:highlight w:val="yellow"/>
              </w:rPr>
            </w:pPr>
          </w:p>
        </w:tc>
        <w:tc>
          <w:tcPr>
            <w:tcW w:w="1631" w:type="dxa"/>
          </w:tcPr>
          <w:p w14:paraId="076E9F63" w14:textId="77777777" w:rsidR="002B0DE0" w:rsidRPr="00D11320" w:rsidRDefault="002B0DE0" w:rsidP="002B0DE0">
            <w:pPr>
              <w:contextualSpacing/>
              <w:jc w:val="center"/>
              <w:rPr>
                <w:rFonts w:ascii="Arial" w:hAnsi="Arial" w:cs="Arial"/>
                <w:bCs/>
              </w:rPr>
            </w:pPr>
          </w:p>
          <w:p w14:paraId="39E54194" w14:textId="77777777" w:rsidR="002B0DE0" w:rsidRPr="00D11320" w:rsidRDefault="002B0DE0" w:rsidP="002B0DE0">
            <w:pPr>
              <w:contextualSpacing/>
              <w:jc w:val="center"/>
              <w:rPr>
                <w:rFonts w:ascii="Arial" w:hAnsi="Arial" w:cs="Arial"/>
                <w:bCs/>
              </w:rPr>
            </w:pPr>
          </w:p>
          <w:p w14:paraId="2B118F7A" w14:textId="77777777" w:rsidR="002B0DE0" w:rsidRPr="00D11320" w:rsidRDefault="002B0DE0" w:rsidP="002B0DE0">
            <w:pPr>
              <w:contextualSpacing/>
              <w:jc w:val="center"/>
              <w:rPr>
                <w:rFonts w:ascii="Arial" w:hAnsi="Arial" w:cs="Arial"/>
                <w:bCs/>
                <w:highlight w:val="yellow"/>
              </w:rPr>
            </w:pPr>
            <w:r w:rsidRPr="00D11320">
              <w:rPr>
                <w:rFonts w:ascii="Arial" w:hAnsi="Arial" w:cs="Arial"/>
                <w:bCs/>
              </w:rPr>
              <w:t>CC/I</w:t>
            </w:r>
          </w:p>
        </w:tc>
      </w:tr>
      <w:tr w:rsidR="002B0DE0" w:rsidRPr="00D11320" w14:paraId="29F55FD4" w14:textId="77777777" w:rsidTr="00D1516F">
        <w:trPr>
          <w:trHeight w:val="300"/>
        </w:trPr>
        <w:tc>
          <w:tcPr>
            <w:tcW w:w="4815" w:type="dxa"/>
          </w:tcPr>
          <w:p w14:paraId="0A499469" w14:textId="07C882B3" w:rsidR="002B0DE0" w:rsidRPr="00D11320" w:rsidRDefault="002B0DE0" w:rsidP="002B0DE0">
            <w:pPr>
              <w:contextualSpacing/>
              <w:rPr>
                <w:rFonts w:ascii="Arial" w:hAnsi="Arial" w:cs="Arial"/>
              </w:rPr>
            </w:pPr>
            <w:r>
              <w:rPr>
                <w:rFonts w:ascii="Arial" w:hAnsi="Arial" w:cs="Arial"/>
              </w:rPr>
              <w:t>Knowledge and experience</w:t>
            </w:r>
            <w:r w:rsidRPr="4D85AB7B">
              <w:rPr>
                <w:rFonts w:ascii="Arial" w:hAnsi="Arial" w:cs="Arial"/>
              </w:rPr>
              <w:t xml:space="preserve"> of financial accounting systems. For example, Unit 4</w:t>
            </w:r>
          </w:p>
        </w:tc>
        <w:tc>
          <w:tcPr>
            <w:tcW w:w="1273" w:type="dxa"/>
          </w:tcPr>
          <w:p w14:paraId="43CF3173" w14:textId="03A742C1" w:rsidR="002B0DE0" w:rsidRPr="00D11320" w:rsidRDefault="002B0DE0" w:rsidP="002B0DE0">
            <w:pPr>
              <w:contextualSpacing/>
              <w:jc w:val="center"/>
              <w:rPr>
                <w:rFonts w:ascii="Arial" w:hAnsi="Arial" w:cs="Arial"/>
                <w:bCs/>
              </w:rPr>
            </w:pPr>
          </w:p>
        </w:tc>
        <w:tc>
          <w:tcPr>
            <w:tcW w:w="1297" w:type="dxa"/>
          </w:tcPr>
          <w:p w14:paraId="7EA8D02E" w14:textId="42B894C2" w:rsidR="002B0DE0" w:rsidRPr="00D11320" w:rsidRDefault="002B0DE0" w:rsidP="002B0DE0">
            <w:pPr>
              <w:contextualSpacing/>
              <w:jc w:val="center"/>
              <w:rPr>
                <w:rFonts w:ascii="Arial" w:hAnsi="Arial" w:cs="Arial"/>
                <w:bCs/>
                <w:highlight w:val="yellow"/>
              </w:rPr>
            </w:pPr>
            <w:r w:rsidRPr="00D11320">
              <w:rPr>
                <w:rFonts w:ascii="Wingdings" w:eastAsia="Wingdings" w:hAnsi="Wingdings" w:cs="Wingdings"/>
                <w:bCs/>
              </w:rPr>
              <w:t>ü</w:t>
            </w:r>
          </w:p>
        </w:tc>
        <w:tc>
          <w:tcPr>
            <w:tcW w:w="1631" w:type="dxa"/>
          </w:tcPr>
          <w:p w14:paraId="2D4778E3" w14:textId="77777777" w:rsidR="002B0DE0" w:rsidRPr="00D11320" w:rsidRDefault="002B0DE0" w:rsidP="002B0DE0">
            <w:pPr>
              <w:contextualSpacing/>
              <w:jc w:val="center"/>
              <w:rPr>
                <w:rFonts w:ascii="Arial" w:hAnsi="Arial" w:cs="Arial"/>
                <w:bCs/>
              </w:rPr>
            </w:pPr>
            <w:r w:rsidRPr="00D11320">
              <w:rPr>
                <w:rFonts w:ascii="Arial" w:hAnsi="Arial" w:cs="Arial"/>
                <w:bCs/>
              </w:rPr>
              <w:t>CC/I</w:t>
            </w:r>
          </w:p>
        </w:tc>
      </w:tr>
      <w:tr w:rsidR="002B0DE0" w:rsidRPr="00D11320" w14:paraId="57A95B48" w14:textId="77777777" w:rsidTr="00D1516F">
        <w:trPr>
          <w:trHeight w:val="300"/>
        </w:trPr>
        <w:tc>
          <w:tcPr>
            <w:tcW w:w="4815" w:type="dxa"/>
          </w:tcPr>
          <w:p w14:paraId="456A06CE" w14:textId="31B326FB" w:rsidR="002B0DE0" w:rsidRPr="00D11320" w:rsidRDefault="002B0DE0" w:rsidP="002B0DE0">
            <w:pPr>
              <w:contextualSpacing/>
              <w:rPr>
                <w:rFonts w:ascii="Arial" w:hAnsi="Arial" w:cs="Arial"/>
                <w:color w:val="2A2D2D"/>
              </w:rPr>
            </w:pPr>
            <w:r w:rsidRPr="005E761E">
              <w:rPr>
                <w:rFonts w:ascii="Arial" w:hAnsi="Arial" w:cs="Arial"/>
              </w:rPr>
              <w:t>Ability to work reliably and be self-motivated</w:t>
            </w:r>
            <w:r>
              <w:rPr>
                <w:rFonts w:ascii="Arial" w:hAnsi="Arial" w:cs="Arial"/>
              </w:rPr>
              <w:t xml:space="preserve"> and be able to adapt and respond to change</w:t>
            </w:r>
          </w:p>
        </w:tc>
        <w:tc>
          <w:tcPr>
            <w:tcW w:w="1273" w:type="dxa"/>
          </w:tcPr>
          <w:p w14:paraId="0F93EEEC" w14:textId="12175FC7" w:rsidR="002B0DE0" w:rsidRPr="00D11320" w:rsidRDefault="002B0DE0" w:rsidP="002B0DE0">
            <w:pPr>
              <w:contextualSpacing/>
              <w:jc w:val="center"/>
              <w:rPr>
                <w:rFonts w:ascii="Arial" w:hAnsi="Arial" w:cs="Arial"/>
                <w:bCs/>
              </w:rPr>
            </w:pPr>
            <w:r w:rsidRPr="00D11320">
              <w:rPr>
                <w:rFonts w:ascii="Wingdings" w:eastAsia="Wingdings" w:hAnsi="Wingdings" w:cs="Wingdings"/>
                <w:bCs/>
              </w:rPr>
              <w:t>ü</w:t>
            </w:r>
          </w:p>
        </w:tc>
        <w:tc>
          <w:tcPr>
            <w:tcW w:w="1297" w:type="dxa"/>
          </w:tcPr>
          <w:p w14:paraId="39417E4B" w14:textId="1D42432A" w:rsidR="002B0DE0" w:rsidRPr="00D11320" w:rsidRDefault="002B0DE0" w:rsidP="002B0DE0">
            <w:pPr>
              <w:contextualSpacing/>
              <w:jc w:val="center"/>
              <w:rPr>
                <w:rFonts w:ascii="Arial" w:hAnsi="Arial" w:cs="Arial"/>
                <w:bCs/>
              </w:rPr>
            </w:pPr>
          </w:p>
        </w:tc>
        <w:tc>
          <w:tcPr>
            <w:tcW w:w="1631" w:type="dxa"/>
          </w:tcPr>
          <w:p w14:paraId="2096E3AE" w14:textId="77777777" w:rsidR="002B0DE0" w:rsidRPr="00D11320" w:rsidRDefault="002B0DE0" w:rsidP="002B0DE0">
            <w:pPr>
              <w:contextualSpacing/>
              <w:jc w:val="center"/>
              <w:rPr>
                <w:rFonts w:ascii="Arial" w:hAnsi="Arial" w:cs="Arial"/>
                <w:bCs/>
              </w:rPr>
            </w:pPr>
            <w:r w:rsidRPr="00D11320">
              <w:rPr>
                <w:rFonts w:ascii="Arial" w:hAnsi="Arial" w:cs="Arial"/>
                <w:bCs/>
              </w:rPr>
              <w:t>CC/I</w:t>
            </w:r>
          </w:p>
        </w:tc>
      </w:tr>
      <w:tr w:rsidR="002B0DE0" w:rsidRPr="00D11320" w14:paraId="7A98313F" w14:textId="77777777" w:rsidTr="00D1516F">
        <w:trPr>
          <w:trHeight w:val="300"/>
        </w:trPr>
        <w:tc>
          <w:tcPr>
            <w:tcW w:w="4815" w:type="dxa"/>
          </w:tcPr>
          <w:p w14:paraId="171FC787" w14:textId="77777777" w:rsidR="002B0DE0" w:rsidRPr="00D11320" w:rsidRDefault="002B0DE0" w:rsidP="002B0DE0">
            <w:pPr>
              <w:contextualSpacing/>
              <w:rPr>
                <w:rFonts w:ascii="Arial" w:hAnsi="Arial" w:cs="Arial"/>
              </w:rPr>
            </w:pPr>
            <w:r w:rsidRPr="4D85AB7B">
              <w:rPr>
                <w:rFonts w:ascii="Arial" w:hAnsi="Arial" w:cs="Arial"/>
              </w:rPr>
              <w:t>An understanding and experience of working for the ‘Not for Profit’ Sector and/or Housing Provider in the Social Housing Sector.</w:t>
            </w:r>
          </w:p>
        </w:tc>
        <w:tc>
          <w:tcPr>
            <w:tcW w:w="1273" w:type="dxa"/>
          </w:tcPr>
          <w:p w14:paraId="39364EE0" w14:textId="77777777" w:rsidR="002B0DE0" w:rsidRPr="00D11320" w:rsidRDefault="002B0DE0" w:rsidP="002B0DE0">
            <w:pPr>
              <w:contextualSpacing/>
              <w:jc w:val="center"/>
              <w:rPr>
                <w:rFonts w:ascii="Arial" w:hAnsi="Arial" w:cs="Arial"/>
                <w:bCs/>
              </w:rPr>
            </w:pPr>
          </w:p>
          <w:p w14:paraId="737CB021" w14:textId="3EAD17CA" w:rsidR="002B0DE0" w:rsidRPr="00D11320" w:rsidRDefault="002B0DE0" w:rsidP="002B0DE0">
            <w:pPr>
              <w:contextualSpacing/>
              <w:jc w:val="center"/>
              <w:rPr>
                <w:rFonts w:ascii="Arial" w:hAnsi="Arial" w:cs="Arial"/>
                <w:bCs/>
              </w:rPr>
            </w:pPr>
          </w:p>
        </w:tc>
        <w:tc>
          <w:tcPr>
            <w:tcW w:w="1297" w:type="dxa"/>
          </w:tcPr>
          <w:p w14:paraId="117DCA24" w14:textId="11766B9D" w:rsidR="002B0DE0" w:rsidRPr="00D11320" w:rsidRDefault="002B0DE0" w:rsidP="002B0DE0">
            <w:pPr>
              <w:contextualSpacing/>
              <w:jc w:val="center"/>
              <w:rPr>
                <w:rFonts w:ascii="Arial" w:hAnsi="Arial" w:cs="Arial"/>
                <w:bCs/>
              </w:rPr>
            </w:pPr>
            <w:r w:rsidRPr="00D11320">
              <w:rPr>
                <w:rFonts w:ascii="Wingdings" w:eastAsia="Wingdings" w:hAnsi="Wingdings" w:cs="Wingdings"/>
                <w:bCs/>
              </w:rPr>
              <w:t>ü</w:t>
            </w:r>
          </w:p>
        </w:tc>
        <w:tc>
          <w:tcPr>
            <w:tcW w:w="1631" w:type="dxa"/>
          </w:tcPr>
          <w:p w14:paraId="21C08D23" w14:textId="77777777" w:rsidR="002B0DE0" w:rsidRPr="00D11320" w:rsidRDefault="002B0DE0" w:rsidP="002B0DE0">
            <w:pPr>
              <w:contextualSpacing/>
              <w:jc w:val="center"/>
              <w:rPr>
                <w:rFonts w:ascii="Arial" w:hAnsi="Arial" w:cs="Arial"/>
                <w:bCs/>
              </w:rPr>
            </w:pPr>
          </w:p>
          <w:p w14:paraId="72F34B2F" w14:textId="77777777" w:rsidR="002B0DE0" w:rsidRPr="00D11320" w:rsidRDefault="002B0DE0" w:rsidP="002B0DE0">
            <w:pPr>
              <w:contextualSpacing/>
              <w:jc w:val="center"/>
              <w:rPr>
                <w:rFonts w:ascii="Arial" w:hAnsi="Arial" w:cs="Arial"/>
                <w:bCs/>
              </w:rPr>
            </w:pPr>
            <w:r w:rsidRPr="00D11320">
              <w:rPr>
                <w:rFonts w:ascii="Arial" w:hAnsi="Arial" w:cs="Arial"/>
                <w:bCs/>
              </w:rPr>
              <w:t>CC</w:t>
            </w:r>
            <w:r>
              <w:rPr>
                <w:rFonts w:ascii="Arial" w:hAnsi="Arial" w:cs="Arial"/>
                <w:bCs/>
              </w:rPr>
              <w:t>/I</w:t>
            </w:r>
          </w:p>
        </w:tc>
      </w:tr>
      <w:tr w:rsidR="002B0DE0" w:rsidRPr="00D11320" w14:paraId="4AA8B98E" w14:textId="77777777" w:rsidTr="00D1516F">
        <w:trPr>
          <w:trHeight w:val="300"/>
        </w:trPr>
        <w:tc>
          <w:tcPr>
            <w:tcW w:w="4815" w:type="dxa"/>
          </w:tcPr>
          <w:p w14:paraId="3BA642BC" w14:textId="77777777" w:rsidR="002B0DE0" w:rsidRPr="00D11320" w:rsidRDefault="002B0DE0" w:rsidP="002B0DE0">
            <w:pPr>
              <w:contextualSpacing/>
              <w:rPr>
                <w:rFonts w:ascii="Arial" w:hAnsi="Arial" w:cs="Arial"/>
                <w:color w:val="2A2D2D"/>
              </w:rPr>
            </w:pPr>
            <w:r w:rsidRPr="00D11320">
              <w:rPr>
                <w:rFonts w:ascii="Arial" w:hAnsi="Arial" w:cs="Arial"/>
              </w:rPr>
              <w:t>Knowledge of or willingness to learn more about learning disability and autism.</w:t>
            </w:r>
          </w:p>
        </w:tc>
        <w:tc>
          <w:tcPr>
            <w:tcW w:w="1273" w:type="dxa"/>
          </w:tcPr>
          <w:p w14:paraId="745B0215" w14:textId="77777777" w:rsidR="002B0DE0" w:rsidRPr="00D11320" w:rsidRDefault="002B0DE0" w:rsidP="002B0DE0">
            <w:pPr>
              <w:contextualSpacing/>
              <w:jc w:val="center"/>
              <w:rPr>
                <w:rFonts w:ascii="Arial" w:hAnsi="Arial" w:cs="Arial"/>
                <w:bCs/>
              </w:rPr>
            </w:pPr>
            <w:r w:rsidRPr="00D11320">
              <w:rPr>
                <w:rFonts w:ascii="Wingdings" w:eastAsia="Wingdings" w:hAnsi="Wingdings" w:cs="Wingdings"/>
                <w:bCs/>
              </w:rPr>
              <w:t>ü</w:t>
            </w:r>
          </w:p>
        </w:tc>
        <w:tc>
          <w:tcPr>
            <w:tcW w:w="1297" w:type="dxa"/>
          </w:tcPr>
          <w:p w14:paraId="626BCD06" w14:textId="77777777" w:rsidR="002B0DE0" w:rsidRPr="00D11320" w:rsidRDefault="002B0DE0" w:rsidP="002B0DE0">
            <w:pPr>
              <w:contextualSpacing/>
              <w:jc w:val="center"/>
              <w:rPr>
                <w:rFonts w:ascii="Arial" w:hAnsi="Arial" w:cs="Arial"/>
                <w:bCs/>
              </w:rPr>
            </w:pPr>
          </w:p>
        </w:tc>
        <w:tc>
          <w:tcPr>
            <w:tcW w:w="1631" w:type="dxa"/>
          </w:tcPr>
          <w:p w14:paraId="5CA54083" w14:textId="77777777" w:rsidR="002B0DE0" w:rsidRPr="00D11320" w:rsidRDefault="002B0DE0" w:rsidP="002B0DE0">
            <w:pPr>
              <w:contextualSpacing/>
              <w:jc w:val="center"/>
              <w:rPr>
                <w:rFonts w:ascii="Arial" w:hAnsi="Arial" w:cs="Arial"/>
                <w:bCs/>
              </w:rPr>
            </w:pPr>
            <w:r w:rsidRPr="00D11320">
              <w:rPr>
                <w:rFonts w:ascii="Arial" w:hAnsi="Arial" w:cs="Arial"/>
                <w:bCs/>
              </w:rPr>
              <w:t>CC/I</w:t>
            </w:r>
          </w:p>
        </w:tc>
      </w:tr>
      <w:tr w:rsidR="002B0DE0" w:rsidRPr="00D11320" w14:paraId="25FDB955" w14:textId="77777777" w:rsidTr="00D1516F">
        <w:trPr>
          <w:trHeight w:val="300"/>
        </w:trPr>
        <w:tc>
          <w:tcPr>
            <w:tcW w:w="4815" w:type="dxa"/>
          </w:tcPr>
          <w:p w14:paraId="45E35FDE" w14:textId="77777777" w:rsidR="002B0DE0" w:rsidRPr="00D11320" w:rsidRDefault="002B0DE0" w:rsidP="002B0DE0">
            <w:pPr>
              <w:contextualSpacing/>
              <w:rPr>
                <w:rFonts w:ascii="Arial" w:hAnsi="Arial" w:cs="Arial"/>
              </w:rPr>
            </w:pPr>
            <w:r w:rsidRPr="00D11320">
              <w:rPr>
                <w:rFonts w:ascii="Arial" w:hAnsi="Arial" w:cs="Arial"/>
              </w:rPr>
              <w:t>Understanding of and willingness to promote EDI in employment and service delivery.</w:t>
            </w:r>
          </w:p>
        </w:tc>
        <w:tc>
          <w:tcPr>
            <w:tcW w:w="1273" w:type="dxa"/>
          </w:tcPr>
          <w:p w14:paraId="3EE194FA" w14:textId="77777777" w:rsidR="002B0DE0" w:rsidRPr="00D11320" w:rsidRDefault="002B0DE0" w:rsidP="002B0DE0">
            <w:pPr>
              <w:contextualSpacing/>
              <w:jc w:val="center"/>
              <w:rPr>
                <w:rFonts w:ascii="Arial" w:hAnsi="Arial" w:cs="Arial"/>
                <w:bCs/>
              </w:rPr>
            </w:pPr>
            <w:r w:rsidRPr="00D11320">
              <w:rPr>
                <w:rFonts w:ascii="Wingdings" w:eastAsia="Wingdings" w:hAnsi="Wingdings" w:cs="Wingdings"/>
                <w:bCs/>
              </w:rPr>
              <w:t>ü</w:t>
            </w:r>
          </w:p>
        </w:tc>
        <w:tc>
          <w:tcPr>
            <w:tcW w:w="1297" w:type="dxa"/>
          </w:tcPr>
          <w:p w14:paraId="6F1CFFAD" w14:textId="77777777" w:rsidR="002B0DE0" w:rsidRPr="00D11320" w:rsidRDefault="002B0DE0" w:rsidP="002B0DE0">
            <w:pPr>
              <w:contextualSpacing/>
              <w:jc w:val="center"/>
              <w:rPr>
                <w:rFonts w:ascii="Arial" w:hAnsi="Arial" w:cs="Arial"/>
                <w:bCs/>
              </w:rPr>
            </w:pPr>
          </w:p>
        </w:tc>
        <w:tc>
          <w:tcPr>
            <w:tcW w:w="1631" w:type="dxa"/>
          </w:tcPr>
          <w:p w14:paraId="46898D47" w14:textId="77777777" w:rsidR="002B0DE0" w:rsidRPr="00D11320" w:rsidRDefault="002B0DE0" w:rsidP="002B0DE0">
            <w:pPr>
              <w:contextualSpacing/>
              <w:jc w:val="center"/>
              <w:rPr>
                <w:rFonts w:ascii="Arial" w:hAnsi="Arial" w:cs="Arial"/>
                <w:bCs/>
              </w:rPr>
            </w:pPr>
            <w:r w:rsidRPr="00D11320">
              <w:rPr>
                <w:rFonts w:ascii="Arial" w:hAnsi="Arial" w:cs="Arial"/>
                <w:bCs/>
              </w:rPr>
              <w:t>CC/I</w:t>
            </w:r>
          </w:p>
        </w:tc>
      </w:tr>
      <w:tr w:rsidR="002B0DE0" w:rsidRPr="00D11320" w14:paraId="088316CD" w14:textId="77777777" w:rsidTr="00D1516F">
        <w:trPr>
          <w:trHeight w:val="300"/>
        </w:trPr>
        <w:tc>
          <w:tcPr>
            <w:tcW w:w="4815" w:type="dxa"/>
          </w:tcPr>
          <w:p w14:paraId="4AA274CF" w14:textId="2F5A5B4D" w:rsidR="002B0DE0" w:rsidRPr="00D11320" w:rsidRDefault="002B0DE0" w:rsidP="002B0DE0">
            <w:pPr>
              <w:contextualSpacing/>
              <w:rPr>
                <w:rFonts w:ascii="Arial" w:hAnsi="Arial" w:cs="Arial"/>
              </w:rPr>
            </w:pPr>
            <w:r w:rsidRPr="4D85AB7B">
              <w:rPr>
                <w:rFonts w:ascii="Arial" w:hAnsi="Arial" w:cs="Arial"/>
              </w:rPr>
              <w:t xml:space="preserve">The post holder may </w:t>
            </w:r>
            <w:r w:rsidR="00B36932">
              <w:rPr>
                <w:rFonts w:ascii="Arial" w:hAnsi="Arial" w:cs="Arial"/>
              </w:rPr>
              <w:t xml:space="preserve">require </w:t>
            </w:r>
            <w:r w:rsidRPr="4D85AB7B">
              <w:rPr>
                <w:rFonts w:ascii="Arial" w:hAnsi="Arial" w:cs="Arial"/>
              </w:rPr>
              <w:t>work</w:t>
            </w:r>
            <w:r w:rsidR="00B36932">
              <w:rPr>
                <w:rFonts w:ascii="Arial" w:hAnsi="Arial" w:cs="Arial"/>
              </w:rPr>
              <w:t>ing</w:t>
            </w:r>
            <w:r w:rsidRPr="4D85AB7B">
              <w:rPr>
                <w:rFonts w:ascii="Arial" w:hAnsi="Arial" w:cs="Arial"/>
              </w:rPr>
              <w:t xml:space="preserve"> outside normal office hours on occasion.</w:t>
            </w:r>
          </w:p>
        </w:tc>
        <w:tc>
          <w:tcPr>
            <w:tcW w:w="1273" w:type="dxa"/>
          </w:tcPr>
          <w:p w14:paraId="5568134C" w14:textId="77777777" w:rsidR="002B0DE0" w:rsidRPr="00D11320" w:rsidRDefault="002B0DE0" w:rsidP="002B0DE0">
            <w:pPr>
              <w:contextualSpacing/>
              <w:jc w:val="center"/>
              <w:rPr>
                <w:rFonts w:ascii="Arial" w:hAnsi="Arial" w:cs="Arial"/>
                <w:bCs/>
              </w:rPr>
            </w:pPr>
            <w:r w:rsidRPr="00D11320">
              <w:rPr>
                <w:rFonts w:ascii="Wingdings" w:eastAsia="Wingdings" w:hAnsi="Wingdings" w:cs="Wingdings"/>
                <w:bCs/>
              </w:rPr>
              <w:t>ü</w:t>
            </w:r>
          </w:p>
        </w:tc>
        <w:tc>
          <w:tcPr>
            <w:tcW w:w="1297" w:type="dxa"/>
          </w:tcPr>
          <w:p w14:paraId="14B92C3E" w14:textId="77777777" w:rsidR="002B0DE0" w:rsidRPr="00D11320" w:rsidRDefault="002B0DE0" w:rsidP="002B0DE0">
            <w:pPr>
              <w:contextualSpacing/>
              <w:jc w:val="center"/>
              <w:rPr>
                <w:rFonts w:ascii="Arial" w:hAnsi="Arial" w:cs="Arial"/>
                <w:bCs/>
              </w:rPr>
            </w:pPr>
          </w:p>
        </w:tc>
        <w:tc>
          <w:tcPr>
            <w:tcW w:w="1631" w:type="dxa"/>
          </w:tcPr>
          <w:p w14:paraId="1EE31400" w14:textId="77777777" w:rsidR="002B0DE0" w:rsidRPr="00D11320" w:rsidRDefault="002B0DE0" w:rsidP="002B0DE0">
            <w:pPr>
              <w:contextualSpacing/>
              <w:jc w:val="center"/>
              <w:rPr>
                <w:rFonts w:ascii="Arial" w:hAnsi="Arial" w:cs="Arial"/>
                <w:bCs/>
              </w:rPr>
            </w:pPr>
            <w:r w:rsidRPr="00D11320">
              <w:rPr>
                <w:rFonts w:ascii="Arial" w:hAnsi="Arial" w:cs="Arial"/>
                <w:bCs/>
              </w:rPr>
              <w:t>I</w:t>
            </w:r>
          </w:p>
        </w:tc>
      </w:tr>
    </w:tbl>
    <w:p w14:paraId="6AF2D295" w14:textId="77777777" w:rsidR="00A22BF9" w:rsidRDefault="00A22BF9" w:rsidP="009558AD">
      <w:pPr>
        <w:jc w:val="both"/>
        <w:rPr>
          <w:rFonts w:ascii="Arial" w:hAnsi="Arial" w:cs="Arial"/>
          <w:b/>
          <w:bCs/>
          <w:color w:val="C00000"/>
          <w:sz w:val="24"/>
          <w:szCs w:val="24"/>
        </w:rPr>
      </w:pPr>
    </w:p>
    <w:p w14:paraId="1021513C" w14:textId="08EBB071" w:rsidR="00142689" w:rsidRPr="00A22BF9" w:rsidRDefault="00B36932" w:rsidP="00142689">
      <w:pPr>
        <w:jc w:val="both"/>
        <w:rPr>
          <w:rFonts w:ascii="Arial" w:hAnsi="Arial" w:cs="Arial"/>
          <w:b/>
          <w:bCs/>
          <w:color w:val="B70954"/>
          <w:sz w:val="24"/>
          <w:szCs w:val="24"/>
        </w:rPr>
      </w:pPr>
      <w:r>
        <w:rPr>
          <w:rFonts w:ascii="Arial" w:hAnsi="Arial" w:cs="Arial"/>
          <w:b/>
          <w:bCs/>
          <w:color w:val="B70954"/>
          <w:sz w:val="24"/>
          <w:szCs w:val="24"/>
        </w:rPr>
        <w:lastRenderedPageBreak/>
        <w:t>Key.</w:t>
      </w:r>
      <w:r w:rsidR="00142689" w:rsidRPr="00A22BF9">
        <w:rPr>
          <w:rFonts w:ascii="Arial" w:hAnsi="Arial" w:cs="Arial"/>
          <w:b/>
          <w:bCs/>
          <w:color w:val="B70954"/>
          <w:sz w:val="24"/>
          <w:szCs w:val="24"/>
        </w:rPr>
        <w:t xml:space="preserve"> </w:t>
      </w:r>
    </w:p>
    <w:p w14:paraId="369B2D8B" w14:textId="77777777" w:rsidR="0041360E" w:rsidRPr="0041360E" w:rsidRDefault="0041360E" w:rsidP="00142689">
      <w:pPr>
        <w:spacing w:after="0" w:line="240" w:lineRule="auto"/>
        <w:jc w:val="both"/>
        <w:rPr>
          <w:rFonts w:ascii="Arial" w:hAnsi="Arial" w:cs="Arial"/>
          <w:sz w:val="24"/>
          <w:szCs w:val="24"/>
        </w:rPr>
      </w:pPr>
      <w:r w:rsidRPr="0041360E">
        <w:rPr>
          <w:rFonts w:ascii="Arial" w:hAnsi="Arial" w:cs="Arial"/>
          <w:sz w:val="24"/>
          <w:szCs w:val="24"/>
        </w:rPr>
        <w:t>CC – CV and Covering Letter</w:t>
      </w:r>
    </w:p>
    <w:p w14:paraId="7A2EF679" w14:textId="77777777" w:rsidR="0041360E" w:rsidRPr="0041360E" w:rsidRDefault="0041360E" w:rsidP="00142689">
      <w:pPr>
        <w:spacing w:after="0" w:line="240" w:lineRule="auto"/>
        <w:jc w:val="both"/>
        <w:rPr>
          <w:rFonts w:ascii="Arial" w:hAnsi="Arial" w:cs="Arial"/>
          <w:sz w:val="24"/>
          <w:szCs w:val="24"/>
        </w:rPr>
      </w:pPr>
      <w:r w:rsidRPr="0041360E">
        <w:rPr>
          <w:rFonts w:ascii="Arial" w:hAnsi="Arial" w:cs="Arial"/>
          <w:sz w:val="24"/>
          <w:szCs w:val="24"/>
        </w:rPr>
        <w:t>I – Interview</w:t>
      </w:r>
    </w:p>
    <w:p w14:paraId="1C32AD04" w14:textId="3A29C321" w:rsidR="00A22BF9" w:rsidRPr="0041360E" w:rsidRDefault="0041360E" w:rsidP="00142689">
      <w:pPr>
        <w:spacing w:after="0" w:line="240" w:lineRule="auto"/>
        <w:jc w:val="both"/>
        <w:rPr>
          <w:rFonts w:ascii="Arial" w:hAnsi="Arial" w:cs="Arial"/>
          <w:sz w:val="24"/>
          <w:szCs w:val="24"/>
        </w:rPr>
      </w:pPr>
      <w:r w:rsidRPr="0041360E">
        <w:rPr>
          <w:rFonts w:ascii="Arial" w:hAnsi="Arial" w:cs="Arial"/>
          <w:sz w:val="24"/>
          <w:szCs w:val="24"/>
        </w:rPr>
        <w:t>CQ – Certificate of Qualificatio</w:t>
      </w:r>
      <w:r>
        <w:rPr>
          <w:rFonts w:ascii="Arial" w:hAnsi="Arial" w:cs="Arial"/>
          <w:sz w:val="24"/>
          <w:szCs w:val="24"/>
        </w:rPr>
        <w:t>n</w:t>
      </w:r>
    </w:p>
    <w:sectPr w:rsidR="00A22BF9" w:rsidRPr="0041360E" w:rsidSect="004523F8">
      <w:headerReference w:type="default" r:id="rId10"/>
      <w:footerReference w:type="default" r:id="rId11"/>
      <w:pgSz w:w="11906" w:h="16838"/>
      <w:pgMar w:top="851" w:right="1440" w:bottom="851"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CAAE4" w14:textId="77777777" w:rsidR="000D32BB" w:rsidRDefault="000D32BB" w:rsidP="009558AD">
      <w:pPr>
        <w:spacing w:after="0" w:line="240" w:lineRule="auto"/>
      </w:pPr>
      <w:r>
        <w:separator/>
      </w:r>
    </w:p>
  </w:endnote>
  <w:endnote w:type="continuationSeparator" w:id="0">
    <w:p w14:paraId="6144111B" w14:textId="77777777" w:rsidR="000D32BB" w:rsidRDefault="000D32BB" w:rsidP="0095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751D699" w14:paraId="1034E888" w14:textId="77777777" w:rsidTr="4751D699">
      <w:trPr>
        <w:trHeight w:val="300"/>
      </w:trPr>
      <w:tc>
        <w:tcPr>
          <w:tcW w:w="3005" w:type="dxa"/>
        </w:tcPr>
        <w:p w14:paraId="07DDB181" w14:textId="533DF08A" w:rsidR="4751D699" w:rsidRDefault="4751D699" w:rsidP="4751D699">
          <w:pPr>
            <w:pStyle w:val="Header"/>
            <w:ind w:left="-115"/>
          </w:pPr>
        </w:p>
      </w:tc>
      <w:tc>
        <w:tcPr>
          <w:tcW w:w="3005" w:type="dxa"/>
        </w:tcPr>
        <w:p w14:paraId="789067B6" w14:textId="383EF461" w:rsidR="4751D699" w:rsidRDefault="4751D699" w:rsidP="4751D699">
          <w:pPr>
            <w:pStyle w:val="Header"/>
            <w:jc w:val="center"/>
          </w:pPr>
        </w:p>
      </w:tc>
      <w:tc>
        <w:tcPr>
          <w:tcW w:w="3005" w:type="dxa"/>
        </w:tcPr>
        <w:p w14:paraId="41175999" w14:textId="5FF4C557" w:rsidR="4751D699" w:rsidRDefault="4751D699" w:rsidP="4751D699">
          <w:pPr>
            <w:pStyle w:val="Header"/>
            <w:ind w:right="-115"/>
            <w:jc w:val="right"/>
          </w:pPr>
        </w:p>
      </w:tc>
    </w:tr>
  </w:tbl>
  <w:p w14:paraId="6FCEDF89" w14:textId="6E1A8CEA" w:rsidR="4751D699" w:rsidRDefault="4751D699" w:rsidP="4751D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CAFF5" w14:textId="77777777" w:rsidR="000D32BB" w:rsidRDefault="000D32BB" w:rsidP="009558AD">
      <w:pPr>
        <w:spacing w:after="0" w:line="240" w:lineRule="auto"/>
      </w:pPr>
      <w:r>
        <w:separator/>
      </w:r>
    </w:p>
  </w:footnote>
  <w:footnote w:type="continuationSeparator" w:id="0">
    <w:p w14:paraId="3C330236" w14:textId="77777777" w:rsidR="000D32BB" w:rsidRDefault="000D32BB" w:rsidP="00955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9E2AE" w14:textId="6C2F0082" w:rsidR="009558AD" w:rsidRDefault="004523F8" w:rsidP="009558AD">
    <w:pPr>
      <w:pStyle w:val="Header"/>
      <w:jc w:val="right"/>
    </w:pPr>
    <w:r>
      <w:rPr>
        <w:noProof/>
      </w:rPr>
      <w:drawing>
        <wp:inline distT="0" distB="0" distL="0" distR="0" wp14:anchorId="62335F07" wp14:editId="62396799">
          <wp:extent cx="1426210" cy="483357"/>
          <wp:effectExtent l="0" t="0" r="254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9149" cy="487742"/>
                  </a:xfrm>
                  <a:prstGeom prst="rect">
                    <a:avLst/>
                  </a:prstGeom>
                </pic:spPr>
              </pic:pic>
            </a:graphicData>
          </a:graphic>
        </wp:inline>
      </w:drawing>
    </w:r>
  </w:p>
  <w:p w14:paraId="4349EDE0" w14:textId="77777777" w:rsidR="009558AD" w:rsidRDefault="0095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7456"/>
    <w:multiLevelType w:val="hybridMultilevel"/>
    <w:tmpl w:val="B29A6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65A9C"/>
    <w:multiLevelType w:val="hybridMultilevel"/>
    <w:tmpl w:val="CB5E5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C60AE0"/>
    <w:multiLevelType w:val="hybridMultilevel"/>
    <w:tmpl w:val="AC189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4B6F39"/>
    <w:multiLevelType w:val="hybridMultilevel"/>
    <w:tmpl w:val="DC9CD4B6"/>
    <w:lvl w:ilvl="0" w:tplc="072EB42A">
      <w:start w:val="1"/>
      <w:numFmt w:val="bullet"/>
      <w:lvlText w:val=""/>
      <w:lvlJc w:val="left"/>
      <w:pPr>
        <w:ind w:left="720" w:hanging="360"/>
      </w:pPr>
      <w:rPr>
        <w:rFonts w:ascii="Symbol" w:hAnsi="Symbol" w:hint="default"/>
        <w:color w:val="A808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174C6"/>
    <w:multiLevelType w:val="hybridMultilevel"/>
    <w:tmpl w:val="BAE6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587584"/>
    <w:multiLevelType w:val="hybridMultilevel"/>
    <w:tmpl w:val="464A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F43E8"/>
    <w:multiLevelType w:val="hybridMultilevel"/>
    <w:tmpl w:val="CB3E88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32F7D"/>
    <w:multiLevelType w:val="hybridMultilevel"/>
    <w:tmpl w:val="09E4DD7E"/>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5BAE668D"/>
    <w:multiLevelType w:val="hybridMultilevel"/>
    <w:tmpl w:val="0D50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A4350"/>
    <w:multiLevelType w:val="hybridMultilevel"/>
    <w:tmpl w:val="19C63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EF53E1B"/>
    <w:multiLevelType w:val="multilevel"/>
    <w:tmpl w:val="BC72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698286">
    <w:abstractNumId w:val="6"/>
  </w:num>
  <w:num w:numId="2" w16cid:durableId="439765361">
    <w:abstractNumId w:val="1"/>
  </w:num>
  <w:num w:numId="3" w16cid:durableId="2082947395">
    <w:abstractNumId w:val="7"/>
  </w:num>
  <w:num w:numId="4" w16cid:durableId="109596567">
    <w:abstractNumId w:val="13"/>
  </w:num>
  <w:num w:numId="5" w16cid:durableId="347878889">
    <w:abstractNumId w:val="12"/>
  </w:num>
  <w:num w:numId="6" w16cid:durableId="1380785619">
    <w:abstractNumId w:val="10"/>
  </w:num>
  <w:num w:numId="7" w16cid:durableId="1164734872">
    <w:abstractNumId w:val="9"/>
  </w:num>
  <w:num w:numId="8" w16cid:durableId="1791128719">
    <w:abstractNumId w:val="2"/>
  </w:num>
  <w:num w:numId="9" w16cid:durableId="15230908">
    <w:abstractNumId w:val="3"/>
  </w:num>
  <w:num w:numId="10" w16cid:durableId="1026558933">
    <w:abstractNumId w:val="11"/>
  </w:num>
  <w:num w:numId="11" w16cid:durableId="1780837769">
    <w:abstractNumId w:val="0"/>
  </w:num>
  <w:num w:numId="12" w16cid:durableId="1438333990">
    <w:abstractNumId w:val="8"/>
  </w:num>
  <w:num w:numId="13" w16cid:durableId="1388989404">
    <w:abstractNumId w:val="5"/>
  </w:num>
  <w:num w:numId="14" w16cid:durableId="207837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81"/>
    <w:rsid w:val="00010BF1"/>
    <w:rsid w:val="00017FCF"/>
    <w:rsid w:val="0002117A"/>
    <w:rsid w:val="00024B0D"/>
    <w:rsid w:val="00033C52"/>
    <w:rsid w:val="0003403E"/>
    <w:rsid w:val="00061EF3"/>
    <w:rsid w:val="000664D9"/>
    <w:rsid w:val="000706F8"/>
    <w:rsid w:val="000A0C10"/>
    <w:rsid w:val="000A299C"/>
    <w:rsid w:val="000A38F1"/>
    <w:rsid w:val="000A47E8"/>
    <w:rsid w:val="000B0863"/>
    <w:rsid w:val="000B2BDF"/>
    <w:rsid w:val="000B5237"/>
    <w:rsid w:val="000C00E0"/>
    <w:rsid w:val="000C7CDF"/>
    <w:rsid w:val="000D32BB"/>
    <w:rsid w:val="000D76A7"/>
    <w:rsid w:val="00103DAB"/>
    <w:rsid w:val="001138EA"/>
    <w:rsid w:val="00115A27"/>
    <w:rsid w:val="00117987"/>
    <w:rsid w:val="00134C69"/>
    <w:rsid w:val="00135AE9"/>
    <w:rsid w:val="00142689"/>
    <w:rsid w:val="00144181"/>
    <w:rsid w:val="00172583"/>
    <w:rsid w:val="001805BD"/>
    <w:rsid w:val="00184D1F"/>
    <w:rsid w:val="00186E5A"/>
    <w:rsid w:val="00191179"/>
    <w:rsid w:val="001937CB"/>
    <w:rsid w:val="001A54F2"/>
    <w:rsid w:val="001A799D"/>
    <w:rsid w:val="001B13C8"/>
    <w:rsid w:val="001B3B9B"/>
    <w:rsid w:val="001C2C09"/>
    <w:rsid w:val="001F351B"/>
    <w:rsid w:val="001F77CD"/>
    <w:rsid w:val="0020612F"/>
    <w:rsid w:val="002100F8"/>
    <w:rsid w:val="00222BF9"/>
    <w:rsid w:val="002716F6"/>
    <w:rsid w:val="002823BB"/>
    <w:rsid w:val="00294028"/>
    <w:rsid w:val="00295693"/>
    <w:rsid w:val="002B0DE0"/>
    <w:rsid w:val="002B38D2"/>
    <w:rsid w:val="002B5333"/>
    <w:rsid w:val="002B5BD8"/>
    <w:rsid w:val="002D523E"/>
    <w:rsid w:val="002D6671"/>
    <w:rsid w:val="002F527A"/>
    <w:rsid w:val="002F5881"/>
    <w:rsid w:val="00310EAD"/>
    <w:rsid w:val="0031549F"/>
    <w:rsid w:val="003201C1"/>
    <w:rsid w:val="00322D75"/>
    <w:rsid w:val="00337D44"/>
    <w:rsid w:val="00355270"/>
    <w:rsid w:val="00367071"/>
    <w:rsid w:val="00385760"/>
    <w:rsid w:val="00394E30"/>
    <w:rsid w:val="00397386"/>
    <w:rsid w:val="003C07D0"/>
    <w:rsid w:val="003C3FE8"/>
    <w:rsid w:val="003E1B25"/>
    <w:rsid w:val="003E6D20"/>
    <w:rsid w:val="003E70B3"/>
    <w:rsid w:val="003E7907"/>
    <w:rsid w:val="003F32E7"/>
    <w:rsid w:val="004024C0"/>
    <w:rsid w:val="00403683"/>
    <w:rsid w:val="0040550F"/>
    <w:rsid w:val="0041360E"/>
    <w:rsid w:val="00413F3F"/>
    <w:rsid w:val="004203C7"/>
    <w:rsid w:val="00432EDC"/>
    <w:rsid w:val="0045107F"/>
    <w:rsid w:val="004523F8"/>
    <w:rsid w:val="00487AB9"/>
    <w:rsid w:val="004B1E6F"/>
    <w:rsid w:val="004B5BB3"/>
    <w:rsid w:val="004B78D2"/>
    <w:rsid w:val="004C2500"/>
    <w:rsid w:val="004C5CFE"/>
    <w:rsid w:val="004D6827"/>
    <w:rsid w:val="004E5DB8"/>
    <w:rsid w:val="004F4B80"/>
    <w:rsid w:val="005050B1"/>
    <w:rsid w:val="00513FF9"/>
    <w:rsid w:val="005211D1"/>
    <w:rsid w:val="00527BA8"/>
    <w:rsid w:val="00534825"/>
    <w:rsid w:val="00546A7E"/>
    <w:rsid w:val="00554F3E"/>
    <w:rsid w:val="00584F8A"/>
    <w:rsid w:val="00585A44"/>
    <w:rsid w:val="0059470D"/>
    <w:rsid w:val="005A7120"/>
    <w:rsid w:val="005B6CFD"/>
    <w:rsid w:val="005C0FC6"/>
    <w:rsid w:val="005D268A"/>
    <w:rsid w:val="005E06E1"/>
    <w:rsid w:val="005E761E"/>
    <w:rsid w:val="005F1B85"/>
    <w:rsid w:val="005F22EC"/>
    <w:rsid w:val="005F6940"/>
    <w:rsid w:val="0060534D"/>
    <w:rsid w:val="00617A04"/>
    <w:rsid w:val="00620540"/>
    <w:rsid w:val="006206D4"/>
    <w:rsid w:val="006227B3"/>
    <w:rsid w:val="00631AC3"/>
    <w:rsid w:val="006541AE"/>
    <w:rsid w:val="00655D64"/>
    <w:rsid w:val="00670A10"/>
    <w:rsid w:val="00683820"/>
    <w:rsid w:val="00684D57"/>
    <w:rsid w:val="006A11D2"/>
    <w:rsid w:val="006A6322"/>
    <w:rsid w:val="006B018A"/>
    <w:rsid w:val="006B4070"/>
    <w:rsid w:val="006B50C1"/>
    <w:rsid w:val="006C1851"/>
    <w:rsid w:val="006C3D72"/>
    <w:rsid w:val="006E5E1B"/>
    <w:rsid w:val="006F0911"/>
    <w:rsid w:val="006F2CFA"/>
    <w:rsid w:val="006F755A"/>
    <w:rsid w:val="007104F8"/>
    <w:rsid w:val="0071656C"/>
    <w:rsid w:val="007165CD"/>
    <w:rsid w:val="00721DB9"/>
    <w:rsid w:val="00741BEA"/>
    <w:rsid w:val="0075058A"/>
    <w:rsid w:val="00756BE2"/>
    <w:rsid w:val="007707DC"/>
    <w:rsid w:val="007B29C4"/>
    <w:rsid w:val="007D0BB9"/>
    <w:rsid w:val="007E0E12"/>
    <w:rsid w:val="00823186"/>
    <w:rsid w:val="008259C7"/>
    <w:rsid w:val="00831A58"/>
    <w:rsid w:val="00834A70"/>
    <w:rsid w:val="00837C9C"/>
    <w:rsid w:val="00843ECC"/>
    <w:rsid w:val="008510E1"/>
    <w:rsid w:val="00853AD9"/>
    <w:rsid w:val="008559E6"/>
    <w:rsid w:val="0086417C"/>
    <w:rsid w:val="008707B9"/>
    <w:rsid w:val="00881D85"/>
    <w:rsid w:val="00883D44"/>
    <w:rsid w:val="008A2644"/>
    <w:rsid w:val="008B28A8"/>
    <w:rsid w:val="008B4C81"/>
    <w:rsid w:val="008D4366"/>
    <w:rsid w:val="008E2B38"/>
    <w:rsid w:val="008F6504"/>
    <w:rsid w:val="0091715C"/>
    <w:rsid w:val="00930C9C"/>
    <w:rsid w:val="00931310"/>
    <w:rsid w:val="00940113"/>
    <w:rsid w:val="00944C0D"/>
    <w:rsid w:val="00944EF3"/>
    <w:rsid w:val="00946170"/>
    <w:rsid w:val="0095157B"/>
    <w:rsid w:val="009558AD"/>
    <w:rsid w:val="009636E1"/>
    <w:rsid w:val="00966199"/>
    <w:rsid w:val="00966723"/>
    <w:rsid w:val="00974691"/>
    <w:rsid w:val="009772AA"/>
    <w:rsid w:val="00990749"/>
    <w:rsid w:val="009C03F5"/>
    <w:rsid w:val="009D29E0"/>
    <w:rsid w:val="009E4497"/>
    <w:rsid w:val="009F13F2"/>
    <w:rsid w:val="009F4584"/>
    <w:rsid w:val="00A00441"/>
    <w:rsid w:val="00A01F86"/>
    <w:rsid w:val="00A20F5A"/>
    <w:rsid w:val="00A22BF9"/>
    <w:rsid w:val="00A368F6"/>
    <w:rsid w:val="00A4155D"/>
    <w:rsid w:val="00A46CCA"/>
    <w:rsid w:val="00A52287"/>
    <w:rsid w:val="00A56FB8"/>
    <w:rsid w:val="00A657FF"/>
    <w:rsid w:val="00A73C61"/>
    <w:rsid w:val="00A92581"/>
    <w:rsid w:val="00A9501A"/>
    <w:rsid w:val="00AC30CC"/>
    <w:rsid w:val="00AD2ABD"/>
    <w:rsid w:val="00AD30D1"/>
    <w:rsid w:val="00AD3EAC"/>
    <w:rsid w:val="00AD6564"/>
    <w:rsid w:val="00B00F21"/>
    <w:rsid w:val="00B022EB"/>
    <w:rsid w:val="00B04BE1"/>
    <w:rsid w:val="00B173A3"/>
    <w:rsid w:val="00B22111"/>
    <w:rsid w:val="00B34543"/>
    <w:rsid w:val="00B36932"/>
    <w:rsid w:val="00B62E03"/>
    <w:rsid w:val="00B8218B"/>
    <w:rsid w:val="00B866F9"/>
    <w:rsid w:val="00B975F9"/>
    <w:rsid w:val="00BA0B8D"/>
    <w:rsid w:val="00BA3DB0"/>
    <w:rsid w:val="00BB45D2"/>
    <w:rsid w:val="00BB4B2B"/>
    <w:rsid w:val="00BC10AF"/>
    <w:rsid w:val="00BC376E"/>
    <w:rsid w:val="00BD5124"/>
    <w:rsid w:val="00BD56D3"/>
    <w:rsid w:val="00BD79B6"/>
    <w:rsid w:val="00BE026F"/>
    <w:rsid w:val="00BE2C62"/>
    <w:rsid w:val="00C03725"/>
    <w:rsid w:val="00C05A17"/>
    <w:rsid w:val="00C26A64"/>
    <w:rsid w:val="00C41C34"/>
    <w:rsid w:val="00C5135F"/>
    <w:rsid w:val="00C8171C"/>
    <w:rsid w:val="00C944D3"/>
    <w:rsid w:val="00C94E27"/>
    <w:rsid w:val="00CA4A01"/>
    <w:rsid w:val="00CB261C"/>
    <w:rsid w:val="00CB4705"/>
    <w:rsid w:val="00CB668D"/>
    <w:rsid w:val="00CC5F8D"/>
    <w:rsid w:val="00CC7CF7"/>
    <w:rsid w:val="00CD13CF"/>
    <w:rsid w:val="00CE0D69"/>
    <w:rsid w:val="00CF1BDD"/>
    <w:rsid w:val="00CF1C72"/>
    <w:rsid w:val="00CF3166"/>
    <w:rsid w:val="00D12F88"/>
    <w:rsid w:val="00D21CC1"/>
    <w:rsid w:val="00D23A3F"/>
    <w:rsid w:val="00D243B9"/>
    <w:rsid w:val="00D27807"/>
    <w:rsid w:val="00D34A86"/>
    <w:rsid w:val="00D40043"/>
    <w:rsid w:val="00D40AF4"/>
    <w:rsid w:val="00D5175D"/>
    <w:rsid w:val="00D536A2"/>
    <w:rsid w:val="00D61289"/>
    <w:rsid w:val="00D61A45"/>
    <w:rsid w:val="00D63E2D"/>
    <w:rsid w:val="00D64658"/>
    <w:rsid w:val="00D74693"/>
    <w:rsid w:val="00D94149"/>
    <w:rsid w:val="00D96CFD"/>
    <w:rsid w:val="00DA66F9"/>
    <w:rsid w:val="00DD1ECB"/>
    <w:rsid w:val="00DD6033"/>
    <w:rsid w:val="00DD66C3"/>
    <w:rsid w:val="00DD6DC0"/>
    <w:rsid w:val="00DE4A94"/>
    <w:rsid w:val="00DE4E7E"/>
    <w:rsid w:val="00DE62A3"/>
    <w:rsid w:val="00DF01C7"/>
    <w:rsid w:val="00E22E48"/>
    <w:rsid w:val="00E33B9F"/>
    <w:rsid w:val="00E37A30"/>
    <w:rsid w:val="00E43401"/>
    <w:rsid w:val="00E4346F"/>
    <w:rsid w:val="00E70431"/>
    <w:rsid w:val="00E70648"/>
    <w:rsid w:val="00E732DB"/>
    <w:rsid w:val="00E845B0"/>
    <w:rsid w:val="00EA2A1B"/>
    <w:rsid w:val="00ED532C"/>
    <w:rsid w:val="00EE5E54"/>
    <w:rsid w:val="00EE7EE2"/>
    <w:rsid w:val="00F01D06"/>
    <w:rsid w:val="00F124C6"/>
    <w:rsid w:val="00F27A20"/>
    <w:rsid w:val="00F30DF6"/>
    <w:rsid w:val="00F31EEB"/>
    <w:rsid w:val="00F47F57"/>
    <w:rsid w:val="00F52CCA"/>
    <w:rsid w:val="00F61A83"/>
    <w:rsid w:val="00F61E72"/>
    <w:rsid w:val="00F66529"/>
    <w:rsid w:val="00F92F62"/>
    <w:rsid w:val="00FA11EC"/>
    <w:rsid w:val="00FA3008"/>
    <w:rsid w:val="00FB48DB"/>
    <w:rsid w:val="00FD2EEF"/>
    <w:rsid w:val="00FD7E31"/>
    <w:rsid w:val="00FE13A2"/>
    <w:rsid w:val="00FE2BCF"/>
    <w:rsid w:val="10FE7B8F"/>
    <w:rsid w:val="20496054"/>
    <w:rsid w:val="24C5EF41"/>
    <w:rsid w:val="462B5327"/>
    <w:rsid w:val="4751D699"/>
    <w:rsid w:val="669CF896"/>
    <w:rsid w:val="7F077DCC"/>
    <w:rsid w:val="7FBB3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61E49"/>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558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 w:type="character" w:customStyle="1" w:styleId="Heading3Char">
    <w:name w:val="Heading 3 Char"/>
    <w:basedOn w:val="DefaultParagraphFont"/>
    <w:link w:val="Heading3"/>
    <w:uiPriority w:val="9"/>
    <w:rsid w:val="009558A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558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5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8AD"/>
  </w:style>
  <w:style w:type="paragraph" w:styleId="Footer">
    <w:name w:val="footer"/>
    <w:basedOn w:val="Normal"/>
    <w:link w:val="FooterChar"/>
    <w:uiPriority w:val="99"/>
    <w:unhideWhenUsed/>
    <w:rsid w:val="00955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8AD"/>
  </w:style>
  <w:style w:type="table" w:styleId="TableGrid">
    <w:name w:val="Table Grid"/>
    <w:basedOn w:val="TableNormal"/>
    <w:uiPriority w:val="39"/>
    <w:rsid w:val="00EA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70B3"/>
    <w:rPr>
      <w:b/>
      <w:bCs/>
    </w:rPr>
  </w:style>
  <w:style w:type="paragraph" w:customStyle="1" w:styleId="Default">
    <w:name w:val="Default"/>
    <w:rsid w:val="000B086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15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2931">
      <w:bodyDiv w:val="1"/>
      <w:marLeft w:val="0"/>
      <w:marRight w:val="0"/>
      <w:marTop w:val="0"/>
      <w:marBottom w:val="0"/>
      <w:divBdr>
        <w:top w:val="none" w:sz="0" w:space="0" w:color="auto"/>
        <w:left w:val="none" w:sz="0" w:space="0" w:color="auto"/>
        <w:bottom w:val="none" w:sz="0" w:space="0" w:color="auto"/>
        <w:right w:val="none" w:sz="0" w:space="0" w:color="auto"/>
      </w:divBdr>
    </w:div>
    <w:div w:id="1565219474">
      <w:bodyDiv w:val="1"/>
      <w:marLeft w:val="0"/>
      <w:marRight w:val="0"/>
      <w:marTop w:val="0"/>
      <w:marBottom w:val="0"/>
      <w:divBdr>
        <w:top w:val="none" w:sz="0" w:space="0" w:color="auto"/>
        <w:left w:val="none" w:sz="0" w:space="0" w:color="auto"/>
        <w:bottom w:val="none" w:sz="0" w:space="0" w:color="auto"/>
        <w:right w:val="none" w:sz="0" w:space="0" w:color="auto"/>
      </w:divBdr>
    </w:div>
    <w:div w:id="1731611833">
      <w:bodyDiv w:val="1"/>
      <w:marLeft w:val="0"/>
      <w:marRight w:val="0"/>
      <w:marTop w:val="0"/>
      <w:marBottom w:val="0"/>
      <w:divBdr>
        <w:top w:val="none" w:sz="0" w:space="0" w:color="auto"/>
        <w:left w:val="none" w:sz="0" w:space="0" w:color="auto"/>
        <w:bottom w:val="none" w:sz="0" w:space="0" w:color="auto"/>
        <w:right w:val="none" w:sz="0" w:space="0" w:color="auto"/>
      </w:divBdr>
    </w:div>
    <w:div w:id="1816950589">
      <w:bodyDiv w:val="1"/>
      <w:marLeft w:val="0"/>
      <w:marRight w:val="0"/>
      <w:marTop w:val="0"/>
      <w:marBottom w:val="0"/>
      <w:divBdr>
        <w:top w:val="none" w:sz="0" w:space="0" w:color="auto"/>
        <w:left w:val="none" w:sz="0" w:space="0" w:color="auto"/>
        <w:bottom w:val="none" w:sz="0" w:space="0" w:color="auto"/>
        <w:right w:val="none" w:sz="0" w:space="0" w:color="auto"/>
      </w:divBdr>
    </w:div>
    <w:div w:id="1957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18CA450D34447A076F149ABF833E7" ma:contentTypeVersion="18" ma:contentTypeDescription="Create a new document." ma:contentTypeScope="" ma:versionID="0451030aeb6b4c05d9680a5632985573">
  <xsd:schema xmlns:xsd="http://www.w3.org/2001/XMLSchema" xmlns:xs="http://www.w3.org/2001/XMLSchema" xmlns:p="http://schemas.microsoft.com/office/2006/metadata/properties" xmlns:ns2="03308186-ce06-4c0a-8ab3-52d8bc83f8c1" xmlns:ns3="a15d815b-4f3c-4f8f-9dfb-57a0a391956a" targetNamespace="http://schemas.microsoft.com/office/2006/metadata/properties" ma:root="true" ma:fieldsID="e035d9a01394a4318c64f82baf4d446b" ns2:_="" ns3:_="">
    <xsd:import namespace="03308186-ce06-4c0a-8ab3-52d8bc83f8c1"/>
    <xsd:import namespace="a15d815b-4f3c-4f8f-9dfb-57a0a3919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08186-ce06-4c0a-8ab3-52d8bc83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eb0559-4f2a-4d84-a09b-9f9d82a05c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815b-4f3c-4f8f-9dfb-57a0a3919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5eef81-ddb4-4f3d-9418-827d07af7041}" ma:internalName="TaxCatchAll" ma:showField="CatchAllData" ma:web="a15d815b-4f3c-4f8f-9dfb-57a0a3919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308186-ce06-4c0a-8ab3-52d8bc83f8c1">
      <Terms xmlns="http://schemas.microsoft.com/office/infopath/2007/PartnerControls"/>
    </lcf76f155ced4ddcb4097134ff3c332f>
    <TaxCatchAll xmlns="a15d815b-4f3c-4f8f-9dfb-57a0a39195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51D54-0127-41C5-8AC9-7DA32E702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08186-ce06-4c0a-8ab3-52d8bc83f8c1"/>
    <ds:schemaRef ds:uri="a15d815b-4f3c-4f8f-9dfb-57a0a3919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CA333-7A61-460D-88D9-AF4A8E4A68DA}">
  <ds:schemaRefs>
    <ds:schemaRef ds:uri="http://schemas.microsoft.com/office/2006/metadata/properties"/>
    <ds:schemaRef ds:uri="http://schemas.microsoft.com/office/infopath/2007/PartnerControls"/>
    <ds:schemaRef ds:uri="03308186-ce06-4c0a-8ab3-52d8bc83f8c1"/>
    <ds:schemaRef ds:uri="a15d815b-4f3c-4f8f-9dfb-57a0a391956a"/>
  </ds:schemaRefs>
</ds:datastoreItem>
</file>

<file path=customXml/itemProps3.xml><?xml version="1.0" encoding="utf-8"?>
<ds:datastoreItem xmlns:ds="http://schemas.openxmlformats.org/officeDocument/2006/customXml" ds:itemID="{03DFA32A-5F41-49A8-8040-D2D562652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Kate Oblie</cp:lastModifiedBy>
  <cp:revision>4</cp:revision>
  <dcterms:created xsi:type="dcterms:W3CDTF">2024-08-27T08:09:00Z</dcterms:created>
  <dcterms:modified xsi:type="dcterms:W3CDTF">2024-08-27T08:13:00Z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0x01010066418CA450D34447A076F149ABF833E7</vt:lpwstr>
  </property>
  <property fmtid="{D5CDD505-2E9C-101B-9397-08002B2CF9AE}" pid="3" name="MediaServiceImageTags">
    <vt:lpwstr/>
  </property>
</Properties>
</file>